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t>廊坊市</w:t>
      </w:r>
      <w:r>
        <w:rPr>
          <w:rFonts w:hint="eastAsia" w:ascii="方正小标宋简体" w:hAnsi="方正小标宋简体" w:eastAsia="方正小标宋简体" w:cs="Times New Roman"/>
          <w:sz w:val="44"/>
          <w:szCs w:val="44"/>
        </w:rPr>
        <w:t>应急管理局</w:t>
      </w:r>
      <w:r>
        <w:rPr>
          <w:rFonts w:ascii="方正小标宋简体" w:hAnsi="方正小标宋简体" w:eastAsia="方正小标宋简体" w:cs="Times New Roman"/>
          <w:sz w:val="44"/>
          <w:szCs w:val="44"/>
        </w:rPr>
        <w:t>20</w:t>
      </w:r>
      <w:r>
        <w:rPr>
          <w:rFonts w:hint="eastAsia" w:ascii="方正小标宋简体" w:hAnsi="方正小标宋简体" w:eastAsia="方正小标宋简体" w:cs="Times New Roman"/>
          <w:sz w:val="44"/>
          <w:szCs w:val="44"/>
        </w:rPr>
        <w:t>21</w:t>
      </w:r>
      <w:r>
        <w:rPr>
          <w:rFonts w:ascii="方正小标宋简体" w:hAnsi="方正小标宋简体" w:eastAsia="方正小标宋简体" w:cs="Times New Roman"/>
          <w:sz w:val="44"/>
          <w:szCs w:val="44"/>
        </w:rPr>
        <w:t>年部门预算信息公开</w:t>
      </w:r>
      <w:r>
        <w:rPr>
          <w:rFonts w:hint="eastAsia" w:ascii="方正小标宋简体" w:hAnsi="方正小标宋简体"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0"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应急管理局</w:t>
      </w:r>
      <w:r>
        <w:rPr>
          <w:rFonts w:hint="eastAsia" w:ascii="仿宋_GB2312" w:hAnsi="Times New Roman" w:eastAsia="仿宋_GB2312" w:cs="Times New Roman"/>
          <w:sz w:val="32"/>
          <w:szCs w:val="32"/>
        </w:rPr>
        <w:t>2021年部门预算公开如下：</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（1）负责应急管理工作，指导各级各部门应对安全生产类、自然灾害类等突发事件和综合防灾减灾救灾工作。负责安全生产综合监督管理和工矿商贸行业安全生产监督管理工作。</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（2）拟订应急管理、安全生产等政策规定，组织编制市应急体系建设、安全生产和综合防灾减灾规划，组织编制防震减灾规划、计划，组织制定相关规程和标准并监督实施。</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指导应急预案体系建设，建立完善事故灾难和自然灾害分级应对制度，组织编制市总体应急预案和安全生产类、自然灾害类专项预案，综合协调应急预案衔接工作，组织开展预案演练，推动应急避难设施建设。</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（4）牵头建立统一的全市应急管理信息系统，负责信息传输渠道的规划和布局，建立监测预警和灾情报告制度，健全自然灾害信息资源获取和共享机制，依法统一发布灾情。</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（5）组织指导协调安全生产类、自然灾害类等突发事件应急救援，承担市应对重大灾害指挥部工作，综合研判突发事件发展态势并提出应对建议，协助市委、市政府指定的负责同志组织重大灾害应急处置工作。</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（6）统一协调指挥各类应急专业队伍，建立应急协调联动机制，推进指挥平台对接，衔接解放军和武警部队参与应急救援工作。</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（7）统筹应急救援力量建设，负责消防、森林和草原火灾扑救、抗洪抢险、地震和地质灾害救援、生产安全事故救援等专业应急救援力量建设，管理市综合性应急救援队伍，指导各级及社会应急救援力量建设。</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（8）组织协调消防工作，指导各级消防监督、火灾预防、火灾扑救等工作。</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（9）指导协调森林和草原火灾、水旱灾害、地质灾害等防治工作，组织开展地震监测预报工作和地震灾害预防工作，负责自然灾害综合监测预警工作，指导开展自然灾害综合风险评估工作。</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（10）组织协调灾害救助工作，组织指导灾情核查、损失评估、救灾捐赠工作，管理、分配市救灾款物并监督使用。</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（11）依法行使市安全生产综合监督管理职权，指导协调、监督检查市有关部门和各县（市、区）政府、廊坊开发区管委会安全生产工作，组织开展安全生产巡查、考核工作。</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12）按照分级、属地原则，依法监督检查工矿商贸生产经营单位贯彻执行安全生产法律法规情况，及其安全生产条件和有关设备（特种设备除外）、材料、劳动防护用品的安全生产管理工作；负责监督管理工矿商贸行业市属企业的安全生产工作；按照有关要求，负责监督管理驻廊中央、省属企业的安全生产工作；依法组织并指导监督实施安全生产准入制度；负责危险化学品安全监督管理综合工作和烟花爆竹安全生产监督管理工作。</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（13）依法组织指导生产安全事故调查处理，监督事故查处和责任追究落实情况。组织开展自然灾害类突发事件的调查评估工作。</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（14）制定应急物资储备和应急救援装备规划并组织实施，会同市粮食和物资储备等部门建立健全应急物资信息平台和调拨制度，在救灾时统一调度。</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（15）负责应急管理、安全生产宣传教育和培训工作，组织指导应急管理、安全生产的科学技术研究、推广应用和信息化建设工作。</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（16）负责组织指导协调和监督全市安全生产行政执法工作，组织开展对市属企业和驻廊中央、省属企业的执法检查，组织开展对安全生产重点企业的执法检查，负责全市抗震设防执法工作。</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（17）组织开展应急管理方面的对外交流与合作。</w:t>
      </w:r>
    </w:p>
    <w:p>
      <w:pPr>
        <w:snapToGrid w:val="0"/>
        <w:spacing w:line="580" w:lineRule="exact"/>
        <w:ind w:firstLine="640" w:firstLineChars="200"/>
        <w:rPr>
          <w:rFonts w:ascii="Times New Roman" w:hAnsi="Times New Roman" w:eastAsia="仿宋_GB2312" w:cs="Times New Roman"/>
          <w:sz w:val="32"/>
          <w:szCs w:val="32"/>
        </w:rPr>
      </w:pPr>
      <w:r>
        <w:rPr>
          <w:rFonts w:hint="eastAsia" w:ascii="仿宋_GB2312" w:hAnsi="仿宋" w:eastAsia="仿宋_GB2312"/>
          <w:sz w:val="32"/>
          <w:szCs w:val="32"/>
        </w:rPr>
        <w:t>（18）完成市委、市政府交办的其他任务。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34"/>
        <w:gridCol w:w="1443"/>
        <w:gridCol w:w="1482"/>
        <w:gridCol w:w="26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1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单位名称</w:t>
            </w:r>
          </w:p>
        </w:tc>
        <w:tc>
          <w:tcPr>
            <w:tcW w:w="144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单位性质</w:t>
            </w:r>
          </w:p>
        </w:tc>
        <w:tc>
          <w:tcPr>
            <w:tcW w:w="148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单位规格</w:t>
            </w:r>
          </w:p>
        </w:tc>
        <w:tc>
          <w:tcPr>
            <w:tcW w:w="269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413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p>
        </w:tc>
        <w:tc>
          <w:tcPr>
            <w:tcW w:w="144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p>
        </w:tc>
        <w:tc>
          <w:tcPr>
            <w:tcW w:w="148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p>
        </w:tc>
        <w:tc>
          <w:tcPr>
            <w:tcW w:w="26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1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廊坊市应急管理局</w:t>
            </w:r>
          </w:p>
        </w:tc>
        <w:tc>
          <w:tcPr>
            <w:tcW w:w="1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行政单位</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正处级</w:t>
            </w:r>
          </w:p>
        </w:tc>
        <w:tc>
          <w:tcPr>
            <w:tcW w:w="26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按照预算管理有关规定，目前我市部门预算的编制实行综合预算制度，即全部收入和支出都反映在预算中。廊坊市</w:t>
      </w:r>
      <w:r>
        <w:rPr>
          <w:rFonts w:hint="eastAsia" w:ascii="Times New Roman" w:hAnsi="Times New Roman" w:eastAsia="仿宋_GB2312" w:cs="Times New Roman"/>
          <w:sz w:val="32"/>
          <w:szCs w:val="32"/>
        </w:rPr>
        <w:t>应急管理局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1、收入说明</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反映本部门当年全部收入。2021年预算收入3233.79万元，其中：一般公共预算收入3002.55万元，基金预算收入0万元，财政专户核拨收入0万元，其他来源收入0万元，上年结转</w:t>
      </w:r>
      <w:r>
        <w:rPr>
          <w:rFonts w:hint="eastAsia" w:ascii="仿宋_GB2312" w:hAnsi="Times New Roman" w:eastAsia="仿宋_GB2312" w:cs="Times New Roman"/>
          <w:sz w:val="32"/>
          <w:szCs w:val="32"/>
          <w:lang w:val="en-US" w:eastAsia="zh-CN"/>
        </w:rPr>
        <w:t>231.24</w:t>
      </w:r>
      <w:r>
        <w:rPr>
          <w:rFonts w:hint="eastAsia" w:ascii="仿宋_GB2312" w:hAnsi="Times New Roman" w:eastAsia="仿宋_GB2312" w:cs="Times New Roman"/>
          <w:sz w:val="32"/>
          <w:szCs w:val="32"/>
        </w:rPr>
        <w:t>万元。</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廊坊市应急管理局年度部门预算中支出预算的总体情况。2021年支出预算3233.79万元，其中基本支出1840.52万元，包括人员类项目经费1594.62万元和运转类公用项目经费245.90万元；运转类其他及特定目标类项目支出</w:t>
      </w:r>
      <w:r>
        <w:rPr>
          <w:rFonts w:hint="eastAsia" w:ascii="仿宋_GB2312" w:hAnsi="Times New Roman" w:eastAsia="仿宋_GB2312" w:cs="Times New Roman"/>
          <w:sz w:val="32"/>
          <w:szCs w:val="32"/>
          <w:lang w:val="en-US" w:eastAsia="zh-CN"/>
        </w:rPr>
        <w:t>1393.27</w:t>
      </w:r>
      <w:r>
        <w:rPr>
          <w:rFonts w:hint="eastAsia" w:ascii="仿宋_GB2312" w:hAnsi="Times New Roman" w:eastAsia="仿宋_GB2312" w:cs="Times New Roman"/>
          <w:sz w:val="32"/>
          <w:szCs w:val="32"/>
        </w:rPr>
        <w:t>万元，包括本级支出，主要为应急管理专项业务经费、应急管理专项工作保障经费、应急管理信息平台运行维护经费等。</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3、比上年增减情况</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2021年预算收支安排3233.79万元，较2020年预算减少</w:t>
      </w:r>
      <w:r>
        <w:rPr>
          <w:rFonts w:hint="eastAsia" w:ascii="仿宋_GB2312" w:hAnsi="Times New Roman" w:eastAsia="仿宋_GB2312" w:cs="Times New Roman"/>
          <w:sz w:val="32"/>
          <w:szCs w:val="32"/>
          <w:lang w:val="en-US" w:eastAsia="zh-CN"/>
        </w:rPr>
        <w:t>120.99</w:t>
      </w:r>
      <w:r>
        <w:rPr>
          <w:rFonts w:hint="eastAsia" w:ascii="仿宋_GB2312" w:hAnsi="Times New Roman" w:eastAsia="仿宋_GB2312" w:cs="Times New Roman"/>
          <w:sz w:val="32"/>
          <w:szCs w:val="32"/>
        </w:rPr>
        <w:t>万元，其中：基本支出增加99.06万元，主要为人员经费和日常公用经费支出；项目支出减少</w:t>
      </w:r>
      <w:r>
        <w:rPr>
          <w:rFonts w:hint="eastAsia" w:ascii="仿宋_GB2312" w:hAnsi="Times New Roman" w:eastAsia="仿宋_GB2312" w:cs="Times New Roman"/>
          <w:sz w:val="32"/>
          <w:szCs w:val="32"/>
          <w:lang w:val="en-US" w:eastAsia="zh-CN"/>
        </w:rPr>
        <w:t>220.05</w:t>
      </w:r>
      <w:r>
        <w:rPr>
          <w:rFonts w:hint="eastAsia" w:ascii="仿宋_GB2312" w:hAnsi="Times New Roman" w:eastAsia="仿宋_GB2312" w:cs="Times New Roman"/>
          <w:sz w:val="32"/>
          <w:szCs w:val="32"/>
        </w:rPr>
        <w:t>万元，主要为应急管理专项业务经费、应急管理专项工作保障经费项目支出。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2021年，我局机关运行经费共计安排126.75万元，主要用于廊坊市应急管理局办公区的日常维修、办公用房水电费、办公用房取暖费、办公用房物业管理费等日常运行支出。</w:t>
      </w:r>
    </w:p>
    <w:p>
      <w:pPr>
        <w:autoSpaceDE w:val="0"/>
        <w:autoSpaceDN w:val="0"/>
        <w:adjustRightInd w:val="0"/>
        <w:spacing w:line="584" w:lineRule="exact"/>
        <w:ind w:firstLine="787" w:firstLineChars="246"/>
        <w:jc w:val="left"/>
        <w:rPr>
          <w:rFonts w:ascii="黑体" w:hAnsi="黑体" w:eastAsia="黑体" w:cs="Times New Roman"/>
          <w:b w:val="0"/>
          <w:bCs/>
          <w:sz w:val="32"/>
          <w:szCs w:val="32"/>
        </w:rPr>
      </w:pPr>
      <w:r>
        <w:rPr>
          <w:rFonts w:ascii="黑体" w:hAnsi="黑体" w:eastAsia="黑体" w:cs="Times New Roman"/>
          <w:b w:val="0"/>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2021年，我局财政拨款“三公”经费预算安排46.21万元。其中，因公出国（境）费0万元；公务用车购置及运维费44.36万元（其中：公务用车购置费为0万元，公务用车运维费44.36万元)；公务接待费1.85万元。与2020年相比减少1.17万元，其中，公务用车购置及运维费减少1.17万元（其中：公务用车购置费减少0万元，公务用车运维费减少1.17万元)，主要原因是我部门切实落实勤俭节约各项规定，压减公车运行经费支出；公务接待费与2020年相比持平，无增减变化。</w:t>
      </w:r>
    </w:p>
    <w:p>
      <w:pPr>
        <w:spacing w:line="584" w:lineRule="exact"/>
        <w:ind w:firstLine="800" w:firstLineChars="250"/>
        <w:rPr>
          <w:rFonts w:ascii="Times New Roman" w:hAnsi="Times New Roman" w:eastAsia="黑体" w:cs="Times New Roman"/>
          <w:b w:val="0"/>
          <w:bCs/>
          <w:sz w:val="32"/>
          <w:szCs w:val="32"/>
        </w:rPr>
      </w:pPr>
      <w:r>
        <w:rPr>
          <w:rFonts w:ascii="Times New Roman" w:hAnsi="Times New Roman" w:eastAsia="黑体" w:cs="Times New Roman"/>
          <w:b w:val="0"/>
          <w:bCs/>
          <w:sz w:val="32"/>
          <w:szCs w:val="32"/>
        </w:rPr>
        <w:t>五、绩效预算信息</w:t>
      </w:r>
    </w:p>
    <w:p>
      <w:pPr>
        <w:spacing w:line="580" w:lineRule="exact"/>
        <w:ind w:firstLine="800" w:firstLineChars="250"/>
        <w:rPr>
          <w:rFonts w:hint="eastAsia" w:ascii="黑体" w:hAnsi="黑体" w:eastAsia="黑体" w:cs="黑体"/>
          <w:b w:val="0"/>
          <w:bCs/>
          <w:sz w:val="32"/>
          <w:szCs w:val="32"/>
        </w:rPr>
      </w:pPr>
      <w:r>
        <w:rPr>
          <w:rFonts w:hint="eastAsia" w:ascii="黑体" w:hAnsi="黑体" w:eastAsia="黑体" w:cs="黑体"/>
          <w:b w:val="0"/>
          <w:bCs/>
          <w:sz w:val="32"/>
          <w:szCs w:val="32"/>
        </w:rPr>
        <w:t>第一部分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部门整体绩效目标</w:t>
      </w:r>
    </w:p>
    <w:p>
      <w:pPr>
        <w:spacing w:line="58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（一）总体绩效目标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优化、协同、高效的原则，着力防风险、保稳定、建制度、补短板，大力推进应急治理体系和治理能力现代化，进一步完善安全生产、防灾减灾、应急救援十大体系和十个运行机制，着力构建统一指挥、专常兼备、反应灵敏、上下联动、平战结合的应急管理体制；扎实推进重点工程和专项行动有效实施，促进全市安全生产水平、自然灾害防治能力、重大灾害救助能力、应急救援能力、信息化支撑能力明显提升；安全风险防范工作取得扎实成效，灾害损失明显减少；安全生产形势持续稳定，较大事故进一步减少，重特大事故得到有效遏制。全年组织应急演练2次以上、应急宣传受众10万人次、应急教育培训2000人次、考核安全生产管理人员和特种作业人员9000人次、对80家以上重点生产经营单位开展安全生产执法检查。</w:t>
      </w:r>
    </w:p>
    <w:p>
      <w:pPr>
        <w:spacing w:line="58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（二）分项绩效目标</w:t>
      </w:r>
    </w:p>
    <w:p>
      <w:p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1、全面提升应急指挥和综合救援水平</w:t>
      </w:r>
    </w:p>
    <w:p>
      <w:p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绩效目标：通过加强突发事件应急指挥协调保障、增加应急救援装备和物资储备，开展大练兵、大比武活动，有效提升应急指挥和综合救援能力。</w:t>
      </w:r>
    </w:p>
    <w:p>
      <w:p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绩效指标：开展应急演练2次，应急救援队伍集中训练1次，购置防汛装备3台（套），全年因灾害造成人员伤亡和财产损失比上年度下降。</w:t>
      </w:r>
    </w:p>
    <w:p>
      <w:pPr>
        <w:numPr>
          <w:ilvl w:val="0"/>
          <w:numId w:val="1"/>
        </w:num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切实提高自然灾害防治能力</w:t>
      </w:r>
    </w:p>
    <w:p>
      <w:p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绩效目标：通过组织开展灾害风险会商，对灾害风险形势和主要灾害趋2势定期进行会商研判，加强灾害监测预警，推动全市自然灾害分类监测和分级预警体系建设，切实提升自然灾害防治能力。</w:t>
      </w:r>
    </w:p>
    <w:p>
      <w:p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绩效指标：实现省市县和部门间信息互通共享，监测预警系统正常运行率在95%以上，开展地震、洪涝、森林火灾等灾害趋势会商研判15次以上。</w:t>
      </w:r>
    </w:p>
    <w:p>
      <w:pPr>
        <w:numPr>
          <w:ilvl w:val="0"/>
          <w:numId w:val="1"/>
        </w:num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持续做好安全风险防范化解</w:t>
      </w:r>
    </w:p>
    <w:p>
      <w:p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绩效目标：通过继续开展“安全生产双控”机制建设、深入开展安全生产三年攻坚行动、严格安全准入许可，强化安全生产执法检查，有效防范化解安全风险，保持全市安全生产形势持续稳定。</w:t>
      </w:r>
    </w:p>
    <w:p>
      <w:p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指标：重点监管企业安全生产“双控”机制建设完成率达到100%、一般行业企业达到80%以上；组织开展安全生产专项整治行动2次以上，全年行政许可按时审批率100%，监督检查生产经营单位300家次以上、对80家以上重点生产经营单位开展安全生产执法检查。</w:t>
      </w:r>
    </w:p>
    <w:p>
      <w:pPr>
        <w:numPr>
          <w:ilvl w:val="0"/>
          <w:numId w:val="1"/>
        </w:num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扎实推进应急管理信息化建设</w:t>
      </w:r>
    </w:p>
    <w:p>
      <w:p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绩效目标：通过完成应急管理信息化平台（三期）建设，健全平台各系统功能，提升应急管理信息化水平。</w:t>
      </w:r>
    </w:p>
    <w:p>
      <w:p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绩效指标：完成应急信息化平台3个模块的采购及安装调试，验收合格率达到100%，已建成系统正常运行率达到95%以上。</w:t>
      </w:r>
    </w:p>
    <w:p>
      <w:pPr>
        <w:numPr>
          <w:ilvl w:val="0"/>
          <w:numId w:val="1"/>
        </w:num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切实加强应急管理宣传</w:t>
      </w:r>
    </w:p>
    <w:p>
      <w:p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绩效目标：通过加强与新闻媒体深度合作，提高新闻发布、公益宣传和舆情应对水平，建立“安全提示”协调联动机制，提升公众应急和安全生产意识和能力。</w:t>
      </w:r>
    </w:p>
    <w:p>
      <w:p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绩效指标：全年开展集中应急宣传活动2次以上，电视宣传专栏10期，廊坊日报应急宣传专栏8期，电梯电视公益广告400个、微信公众号更新300次，官方微博信息更新300次，应急宣传受众人数达到10万人次以上。</w:t>
      </w:r>
    </w:p>
    <w:p>
      <w:pPr>
        <w:numPr>
          <w:ilvl w:val="0"/>
          <w:numId w:val="1"/>
        </w:num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持续夯实基层基础</w:t>
      </w:r>
    </w:p>
    <w:p>
      <w:p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绩效目标：通过开展应急管理培训、应急科技推广、事故灾害调查统计工作、自然灾害普查，提升应急管理和安全生产基础能力，提高本质安全水平。</w:t>
      </w:r>
    </w:p>
    <w:p>
      <w:pPr>
        <w:topLinePunct/>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绩效指标：全年应急教育培训2000人次以上，考核安全生产管理人员和特种作业人员9000人以上，生产安全事故调查结案率100%，开展自然灾害普查1次，地震流动科普馆巡展1次。</w:t>
      </w:r>
    </w:p>
    <w:p>
      <w:pPr>
        <w:topLinePunct/>
        <w:adjustRightInd w:val="0"/>
        <w:snapToGrid w:val="0"/>
        <w:spacing w:line="580" w:lineRule="exact"/>
        <w:ind w:firstLine="643" w:firstLineChars="200"/>
        <w:rPr>
          <w:rFonts w:hint="eastAsia" w:ascii="楷体" w:hAnsi="楷体" w:eastAsia="楷体" w:cs="楷体"/>
          <w:b/>
          <w:kern w:val="0"/>
          <w:sz w:val="32"/>
          <w:szCs w:val="32"/>
        </w:rPr>
      </w:pPr>
      <w:r>
        <w:rPr>
          <w:rFonts w:hint="eastAsia" w:ascii="楷体" w:hAnsi="楷体" w:eastAsia="楷体" w:cs="楷体"/>
          <w:b/>
          <w:kern w:val="0"/>
          <w:sz w:val="32"/>
          <w:szCs w:val="32"/>
        </w:rPr>
        <w:t>（三）工作保障措施</w:t>
      </w:r>
    </w:p>
    <w:p>
      <w:pPr>
        <w:topLinePunct/>
        <w:adjustRightInd w:val="0"/>
        <w:snapToGrid w:val="0"/>
        <w:spacing w:line="580" w:lineRule="exact"/>
        <w:ind w:firstLine="627"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加强组织领导。成立以局主要领导为组长，相关分管领导为成员的年度部门预算执行工作领导小组，定期调度研判预算执行情况。督促预算执行部门加快项目实施进度，帮助解决预算执行过程中的问题，监督项目资金使用效益。</w:t>
      </w:r>
    </w:p>
    <w:p>
      <w:pPr>
        <w:topLinePunct/>
        <w:adjustRightInd w:val="0"/>
        <w:snapToGrid w:val="0"/>
        <w:spacing w:line="580" w:lineRule="exact"/>
        <w:ind w:firstLine="627"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完善制度建设。全面梳理本部门财务管理制度体系，以近年来预算执行、决算、内审、审计发现的问题为导向，完善制度建设，为预算执行建立完善的制度保障。一是对已有制度进行修订，使之执行更有效。二是填补制度空白，抓紧制定一批新制度、新规定，部门制度体系更完善。</w:t>
      </w:r>
    </w:p>
    <w:p>
      <w:pPr>
        <w:topLinePunct/>
        <w:adjustRightInd w:val="0"/>
        <w:snapToGrid w:val="0"/>
        <w:spacing w:line="580" w:lineRule="exact"/>
        <w:ind w:firstLine="627"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加强支出管理。通过优化支出结构、编细编实预算、提高内控审批效率、加快履行政府采购手续，尽快启动项目、及时支付资金等多种措施，确保支出进度达标。重点是通过限定内部审批时限来解决内部审批效率问题，通过提升采购需求文件质来压缩办理采购手续时间的问题。</w:t>
      </w:r>
    </w:p>
    <w:p>
      <w:pPr>
        <w:topLinePunct/>
        <w:adjustRightInd w:val="0"/>
        <w:snapToGrid w:val="0"/>
        <w:spacing w:line="580" w:lineRule="exact"/>
        <w:ind w:firstLine="627"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加强绩效运行监控。按照《廊坊市应急管理局预算绩效管理办法》（廊应急〔2019〕143号）及市财政局相关绩效管理规定，充分发挥局预算绩效管理工作领导小组及其办公室职能，开展绩效运行监控,及时发现运行中的偏差情况，并采取有效的措施予以纠偏，确保绩效目标如期保质实现。</w:t>
      </w:r>
    </w:p>
    <w:p>
      <w:pPr>
        <w:topLinePunct/>
        <w:adjustRightInd w:val="0"/>
        <w:snapToGrid w:val="0"/>
        <w:spacing w:line="580" w:lineRule="exact"/>
        <w:ind w:firstLine="627"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5、做好绩效自评。按要求开展上年度部门预算绩效自评和重点评价工作,对评价中发现的问题及时整改。针对上年度问题情况，“举一反三”，及时调整优化本年度支出结构,提高资金使用效益。</w:t>
      </w:r>
    </w:p>
    <w:p>
      <w:pPr>
        <w:topLinePunct/>
        <w:adjustRightInd w:val="0"/>
        <w:snapToGrid w:val="0"/>
        <w:spacing w:line="580" w:lineRule="exact"/>
        <w:ind w:firstLine="627"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规范财务资产管理。完善机关财务管理制度，严格审批程序。加强固定资产登记、使用和报废处置管理，做到支出合理，物尽其用。落实资4产使用管理责任制度，谁使用谁保管谁负责，定期开展资产清查，确保国有资产安全。</w:t>
      </w:r>
    </w:p>
    <w:p>
      <w:pPr>
        <w:topLinePunct/>
        <w:adjustRightInd w:val="0"/>
        <w:snapToGrid w:val="0"/>
        <w:spacing w:line="580" w:lineRule="exact"/>
        <w:ind w:firstLine="627"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加强内部监督。加强内部监督制度建设，建立内部监督机制、设立内部监督机构，对绩效运行情况、重大支出决策、资产处置及其他重要经济业务事项的决策和执行进行监督，对会计资料定期进行内部审计,并配合做好审计、财政监督等外部监督工作，确保财政资金安全有效。</w:t>
      </w:r>
    </w:p>
    <w:p>
      <w:pPr>
        <w:topLinePunct/>
        <w:adjustRightInd w:val="0"/>
        <w:snapToGrid w:val="0"/>
        <w:spacing w:line="580" w:lineRule="exact"/>
        <w:ind w:firstLine="627"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加强培训调研。一是重点加强对项目承办科室人员培训。提升项目承办科室人员财务管理、政府采购和预算绩效管理等方面的能力，提高项目实施前、中、后绩效管理水平。二是加强调研,研究优化财政资金配置、提高资金使用效益的有效措施；加大宣传力度，强化全局干部职工预算绩效管理意识，促进预算绩效管理水平进一步提升。</w:t>
      </w:r>
    </w:p>
    <w:p>
      <w:pPr>
        <w:overflowPunct w:val="0"/>
        <w:adjustRightInd w:val="0"/>
        <w:snapToGrid w:val="0"/>
        <w:spacing w:afterLines="50" w:line="580" w:lineRule="exact"/>
        <w:ind w:firstLine="630" w:firstLineChars="196"/>
        <w:jc w:val="left"/>
        <w:rPr>
          <w:rFonts w:hint="eastAsia" w:ascii="楷体" w:hAnsi="楷体" w:eastAsia="楷体" w:cs="楷体"/>
          <w:b/>
          <w:sz w:val="32"/>
          <w:szCs w:val="32"/>
        </w:rPr>
      </w:pPr>
      <w:r>
        <w:rPr>
          <w:rFonts w:hint="eastAsia" w:ascii="楷体" w:hAnsi="楷体" w:eastAsia="楷体" w:cs="楷体"/>
          <w:b/>
          <w:sz w:val="32"/>
          <w:szCs w:val="32"/>
        </w:rPr>
        <w:t>（四）部门整体支出绩效指标</w:t>
      </w:r>
    </w:p>
    <w:tbl>
      <w:tblPr>
        <w:tblStyle w:val="8"/>
        <w:tblW w:w="14058" w:type="dxa"/>
        <w:jc w:val="center"/>
        <w:tblInd w:w="-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12"/>
        <w:gridCol w:w="800"/>
        <w:gridCol w:w="2075"/>
        <w:gridCol w:w="4213"/>
        <w:gridCol w:w="3014"/>
        <w:gridCol w:w="638"/>
        <w:gridCol w:w="537"/>
        <w:gridCol w:w="57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326" w:hRule="atLeast"/>
          <w:tblHeader/>
          <w:jc w:val="center"/>
        </w:trPr>
        <w:tc>
          <w:tcPr>
            <w:tcW w:w="81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w:t>
            </w:r>
          </w:p>
          <w:p>
            <w:pPr>
              <w:widowControl/>
              <w:adjustRightInd w:val="0"/>
              <w:snapToGrid w:val="0"/>
              <w:jc w:val="center"/>
              <w:rPr>
                <w:rFonts w:ascii="方正书宋_GBK" w:eastAsia="方正书宋_GBK"/>
                <w:b/>
              </w:rPr>
            </w:pPr>
            <w:r>
              <w:rPr>
                <w:rFonts w:ascii="方正书宋_GBK" w:eastAsia="方正书宋_GBK"/>
                <w:b/>
              </w:rPr>
              <w:t>指标</w:t>
            </w:r>
          </w:p>
        </w:tc>
        <w:tc>
          <w:tcPr>
            <w:tcW w:w="80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07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421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301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750"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9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33" w:hRule="atLeast"/>
          <w:tblHeader/>
          <w:jc w:val="center"/>
        </w:trPr>
        <w:tc>
          <w:tcPr>
            <w:tcW w:w="812" w:type="dxa"/>
            <w:vMerge w:val="continue"/>
            <w:tcBorders>
              <w:tl2br w:val="nil"/>
              <w:tr2bl w:val="nil"/>
            </w:tcBorders>
            <w:vAlign w:val="center"/>
          </w:tcPr>
          <w:p/>
        </w:tc>
        <w:tc>
          <w:tcPr>
            <w:tcW w:w="800" w:type="dxa"/>
            <w:vMerge w:val="continue"/>
            <w:tcBorders>
              <w:tl2br w:val="nil"/>
              <w:tr2bl w:val="nil"/>
            </w:tcBorders>
            <w:vAlign w:val="center"/>
          </w:tcPr>
          <w:p/>
        </w:tc>
        <w:tc>
          <w:tcPr>
            <w:tcW w:w="2075" w:type="dxa"/>
            <w:vMerge w:val="continue"/>
            <w:tcBorders>
              <w:tl2br w:val="nil"/>
              <w:tr2bl w:val="nil"/>
            </w:tcBorders>
            <w:vAlign w:val="center"/>
          </w:tcPr>
          <w:p/>
        </w:tc>
        <w:tc>
          <w:tcPr>
            <w:tcW w:w="4213" w:type="dxa"/>
            <w:vMerge w:val="continue"/>
            <w:tcBorders>
              <w:tl2br w:val="nil"/>
              <w:tr2bl w:val="nil"/>
            </w:tcBorders>
            <w:vAlign w:val="center"/>
          </w:tcPr>
          <w:p/>
        </w:tc>
        <w:tc>
          <w:tcPr>
            <w:tcW w:w="3014" w:type="dxa"/>
            <w:vMerge w:val="continue"/>
            <w:tcBorders>
              <w:tl2br w:val="nil"/>
              <w:tr2bl w:val="nil"/>
            </w:tcBorders>
            <w:vAlign w:val="center"/>
          </w:tcPr>
          <w:p/>
        </w:tc>
        <w:tc>
          <w:tcPr>
            <w:tcW w:w="63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3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94"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94" w:hRule="atLeast"/>
          <w:jc w:val="center"/>
        </w:trPr>
        <w:tc>
          <w:tcPr>
            <w:tcW w:w="812" w:type="dxa"/>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部门</w:t>
            </w:r>
          </w:p>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产出</w:t>
            </w:r>
          </w:p>
        </w:tc>
        <w:tc>
          <w:tcPr>
            <w:tcW w:w="800" w:type="dxa"/>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数量</w:t>
            </w: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执法监察计划完成率</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完成率大于等于100%为满分，100%以下每降低5%，扣除权重分的10%，扣完为止</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执法监察工作是否完成年度工作计划</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100</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94" w:hRule="atLeast"/>
          <w:jc w:val="center"/>
        </w:trPr>
        <w:tc>
          <w:tcPr>
            <w:tcW w:w="812"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800"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开展应急演练次数</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开展2次及以上得满分，开展1次得权重分的50%，未开展不得分</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年度内开展生产安全事故、防汛、地震等救援演练次数</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2</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次</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94" w:hRule="atLeast"/>
          <w:jc w:val="center"/>
        </w:trPr>
        <w:tc>
          <w:tcPr>
            <w:tcW w:w="812"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800"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教育培训人数</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大于等于2000人次得满分，每少200人次扣除权重分的10%，扣完为止</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应急教育培训人数</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2000</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人次</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94" w:hRule="atLeast"/>
          <w:jc w:val="center"/>
        </w:trPr>
        <w:tc>
          <w:tcPr>
            <w:tcW w:w="812"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800"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应急宣传集中活动数量</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大于等于2次得满分，每少1次扣除权重分的50%</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考核安全生产月集中宣传日，全国减灾日进行应急宣传活动情况</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2</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次</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94" w:hRule="atLeast"/>
          <w:jc w:val="center"/>
        </w:trPr>
        <w:tc>
          <w:tcPr>
            <w:tcW w:w="812"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800"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考核人数</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大于等于9000人次得满分，每少900人次扣除权重分的10%，扣完为止</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考核安全生产管理人员和特种作业人员人数</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9000</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人次</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94" w:hRule="atLeast"/>
          <w:jc w:val="center"/>
        </w:trPr>
        <w:tc>
          <w:tcPr>
            <w:tcW w:w="812"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800"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执法检查企业数</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大于等于80家得满分，每少8家扣除权重分的10%，扣完为止</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对重点生产经营单位执法检查数量</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80</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家</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94" w:hRule="atLeast"/>
          <w:jc w:val="center"/>
        </w:trPr>
        <w:tc>
          <w:tcPr>
            <w:tcW w:w="812"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800"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应急管理信息化系统建成模块数</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完成3个得满分，每减少1个扣权重分的10%，扣完为止</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应急管理信息化系统建成模块数</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3</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个</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94" w:hRule="atLeast"/>
          <w:jc w:val="center"/>
        </w:trPr>
        <w:tc>
          <w:tcPr>
            <w:tcW w:w="812"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800"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应急物资装备采购量</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完成30件得满分，每少采购1件扣除权重分的4%，扣完为止</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年度应急物资装备采购数量</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3</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szCs w:val="21"/>
                <w14:textFill>
                  <w14:solidFill>
                    <w14:schemeClr w14:val="tx1"/>
                  </w14:solidFill>
                </w14:textFill>
              </w:rPr>
              <w:t>台（套）</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94" w:hRule="atLeast"/>
          <w:jc w:val="center"/>
        </w:trPr>
        <w:tc>
          <w:tcPr>
            <w:tcW w:w="812"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800" w:type="dxa"/>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质量</w:t>
            </w: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应急物资装备采购合格率</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合格率为100%得满分，每降低4%扣除权重分的10%，扣完为止</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采购的应急物资装备符合国家标准的比例</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100</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94" w:hRule="atLeast"/>
          <w:jc w:val="center"/>
        </w:trPr>
        <w:tc>
          <w:tcPr>
            <w:tcW w:w="812"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800"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灾害、事故有效处置率</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=100%得满分，每降低4%扣除权重分的10%，扣完为止</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灾害、事故按照相关规定处置</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100</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812" w:type="dxa"/>
            <w:vMerge w:val="continue"/>
            <w:tcBorders>
              <w:tl2br w:val="nil"/>
              <w:tr2bl w:val="nil"/>
            </w:tcBorders>
            <w:vAlign w:val="center"/>
          </w:tcPr>
          <w:p>
            <w:pPr>
              <w:rPr>
                <w:rFonts w:hint="eastAsia" w:ascii="仿宋_GB2312" w:hAnsi="仿宋_GB2312" w:eastAsia="仿宋_GB2312" w:cs="仿宋_GB2312"/>
              </w:rPr>
            </w:pPr>
          </w:p>
        </w:tc>
        <w:tc>
          <w:tcPr>
            <w:tcW w:w="800"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应急指挥系统稳定运行情况</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平稳运行时间的比例大于等于95%得满分，每降低5%扣除权重分的10%，扣完为止</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指挥平台平稳运行时间占总运行时间的比例。</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95</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812" w:type="dxa"/>
            <w:vMerge w:val="continue"/>
            <w:tcBorders>
              <w:tl2br w:val="nil"/>
              <w:tr2bl w:val="nil"/>
            </w:tcBorders>
            <w:vAlign w:val="center"/>
          </w:tcPr>
          <w:p>
            <w:pPr>
              <w:rPr>
                <w:rFonts w:hint="eastAsia" w:ascii="仿宋_GB2312" w:hAnsi="仿宋_GB2312" w:eastAsia="仿宋_GB2312" w:cs="仿宋_GB2312"/>
              </w:rPr>
            </w:pPr>
          </w:p>
        </w:tc>
        <w:tc>
          <w:tcPr>
            <w:tcW w:w="80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时效</w:t>
            </w: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各项重点工作按时完成率</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按时完成得满分，未按时完成一项扣除权重分的10%，扣完为止</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各项重点工作在本年度内按时完成情况</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100</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812" w:type="dxa"/>
            <w:vMerge w:val="continue"/>
            <w:tcBorders>
              <w:tl2br w:val="nil"/>
              <w:tr2bl w:val="nil"/>
            </w:tcBorders>
            <w:vAlign w:val="center"/>
          </w:tcPr>
          <w:p>
            <w:pPr>
              <w:rPr>
                <w:rFonts w:hint="eastAsia" w:ascii="仿宋_GB2312" w:hAnsi="仿宋_GB2312" w:eastAsia="仿宋_GB2312" w:cs="仿宋_GB2312"/>
              </w:rPr>
            </w:pPr>
          </w:p>
        </w:tc>
        <w:tc>
          <w:tcPr>
            <w:tcW w:w="800" w:type="dxa"/>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成本</w:t>
            </w: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公用经费控制率</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“三公”经费实际支出数≤预算安排的三公经费数，得50%权重分，否则不得分；日常公用经费决算数≤日常公用经费调整预算数，得50%权重分，否则不得分</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本年度实际支出的公用经费总额小于预算安排的公经费用经费总额。反映和考核对运转成本的实际控制程度</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100</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812" w:type="dxa"/>
            <w:vMerge w:val="continue"/>
            <w:tcBorders>
              <w:tl2br w:val="nil"/>
              <w:tr2bl w:val="nil"/>
            </w:tcBorders>
            <w:vAlign w:val="center"/>
          </w:tcPr>
          <w:p>
            <w:pPr>
              <w:rPr>
                <w:rFonts w:hint="eastAsia" w:ascii="仿宋_GB2312" w:hAnsi="仿宋_GB2312" w:eastAsia="仿宋_GB2312" w:cs="仿宋_GB2312"/>
              </w:rPr>
            </w:pPr>
          </w:p>
        </w:tc>
        <w:tc>
          <w:tcPr>
            <w:tcW w:w="800"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人均培训费用</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小于等于450元得满分，大于450元不得分</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每人每天的培训费用</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450</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元</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培训管理办法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58" w:hRule="atLeast"/>
          <w:jc w:val="center"/>
        </w:trPr>
        <w:tc>
          <w:tcPr>
            <w:tcW w:w="812" w:type="dxa"/>
            <w:vMerge w:val="continue"/>
            <w:tcBorders>
              <w:tl2br w:val="nil"/>
              <w:tr2bl w:val="nil"/>
            </w:tcBorders>
            <w:vAlign w:val="center"/>
          </w:tcPr>
          <w:p>
            <w:pPr>
              <w:rPr>
                <w:rFonts w:hint="eastAsia" w:ascii="仿宋_GB2312" w:hAnsi="仿宋_GB2312" w:eastAsia="仿宋_GB2312" w:cs="仿宋_GB2312"/>
              </w:rPr>
            </w:pPr>
          </w:p>
        </w:tc>
        <w:tc>
          <w:tcPr>
            <w:tcW w:w="800"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会议住宿用房单价</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小于等于310元得满分，大于310元不得分</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会议住宿用房单价</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310</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元</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会议管理办法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812" w:type="dxa"/>
            <w:vMerge w:val="restart"/>
            <w:tcBorders>
              <w:tl2br w:val="nil"/>
              <w:tr2bl w:val="nil"/>
            </w:tcBorders>
            <w:vAlign w:val="center"/>
          </w:tcPr>
          <w:p>
            <w:pPr>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部门</w:t>
            </w:r>
          </w:p>
          <w:p>
            <w:pPr>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效果</w:t>
            </w:r>
          </w:p>
        </w:tc>
        <w:tc>
          <w:tcPr>
            <w:tcW w:w="800" w:type="dxa"/>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效益</w:t>
            </w: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有效预防和减少人民生命财产损失</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比上年下降得满分，比上年上升不得分</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降低因自然灾害、安全生产事故造成的人民生命财产损失</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下降</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812" w:type="dxa"/>
            <w:vMerge w:val="continue"/>
            <w:tcBorders>
              <w:tl2br w:val="nil"/>
              <w:tr2bl w:val="nil"/>
            </w:tcBorders>
            <w:vAlign w:val="center"/>
          </w:tcPr>
          <w:p>
            <w:pPr>
              <w:adjustRightInd w:val="0"/>
              <w:snapToGrid w:val="0"/>
              <w:jc w:val="center"/>
              <w:rPr>
                <w:rFonts w:hint="eastAsia" w:ascii="仿宋_GB2312" w:hAnsi="仿宋_GB2312" w:eastAsia="仿宋_GB2312" w:cs="仿宋_GB2312"/>
              </w:rPr>
            </w:pPr>
          </w:p>
        </w:tc>
        <w:tc>
          <w:tcPr>
            <w:tcW w:w="800"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安全生产事故数和死亡人数下降率</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下降率大于0%得满分，等于0%得权重分的80%，小于0%不得分</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安全生产事故数和死亡人数与上年相比的下降情况</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0</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812" w:type="dxa"/>
            <w:vMerge w:val="continue"/>
            <w:tcBorders>
              <w:tl2br w:val="nil"/>
              <w:tr2bl w:val="nil"/>
            </w:tcBorders>
            <w:vAlign w:val="center"/>
          </w:tcPr>
          <w:p>
            <w:pPr>
              <w:adjustRightInd w:val="0"/>
              <w:snapToGrid w:val="0"/>
              <w:jc w:val="center"/>
              <w:rPr>
                <w:rFonts w:hint="eastAsia" w:ascii="仿宋_GB2312" w:hAnsi="仿宋_GB2312" w:eastAsia="仿宋_GB2312" w:cs="仿宋_GB2312"/>
              </w:rPr>
            </w:pPr>
          </w:p>
        </w:tc>
        <w:tc>
          <w:tcPr>
            <w:tcW w:w="800"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从业人员能力和水平</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得到有效提升得满分，未得到不得分</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提升从业人员安全生产能力和水平</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提升</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812" w:type="dxa"/>
            <w:vMerge w:val="continue"/>
            <w:tcBorders>
              <w:tl2br w:val="nil"/>
              <w:tr2bl w:val="nil"/>
            </w:tcBorders>
            <w:vAlign w:val="center"/>
          </w:tcPr>
          <w:p>
            <w:pPr>
              <w:adjustRightInd w:val="0"/>
              <w:snapToGrid w:val="0"/>
              <w:jc w:val="center"/>
              <w:rPr>
                <w:rFonts w:hint="eastAsia" w:ascii="仿宋_GB2312" w:hAnsi="仿宋_GB2312" w:eastAsia="仿宋_GB2312" w:cs="仿宋_GB2312"/>
              </w:rPr>
            </w:pPr>
          </w:p>
        </w:tc>
        <w:tc>
          <w:tcPr>
            <w:tcW w:w="800"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隐患整改率</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全部整改得满分，每少整改2%扣除权重分的10%，扣完为止</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整改率=（完成整改数/排查隐患总数）*100%</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100</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812" w:type="dxa"/>
            <w:vMerge w:val="continue"/>
            <w:tcBorders>
              <w:tl2br w:val="nil"/>
              <w:tr2bl w:val="nil"/>
            </w:tcBorders>
            <w:vAlign w:val="center"/>
          </w:tcPr>
          <w:p>
            <w:pPr>
              <w:adjustRightInd w:val="0"/>
              <w:snapToGrid w:val="0"/>
              <w:jc w:val="center"/>
              <w:rPr>
                <w:rFonts w:hint="eastAsia" w:ascii="仿宋_GB2312" w:hAnsi="仿宋_GB2312" w:eastAsia="仿宋_GB2312" w:cs="仿宋_GB2312"/>
              </w:rPr>
            </w:pPr>
          </w:p>
        </w:tc>
        <w:tc>
          <w:tcPr>
            <w:tcW w:w="800" w:type="dxa"/>
            <w:vMerge w:val="continue"/>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075"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应急宣传受众人数</w:t>
            </w:r>
          </w:p>
        </w:tc>
        <w:tc>
          <w:tcPr>
            <w:tcW w:w="4213"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受众人数大于等于10万人次得满分，每减少1万人次扣除权重分的20%，扣完为止</w:t>
            </w:r>
          </w:p>
        </w:tc>
        <w:tc>
          <w:tcPr>
            <w:tcW w:w="301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应急宣传受众人数</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10万</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人次</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04" w:hRule="atLeast"/>
          <w:jc w:val="center"/>
        </w:trPr>
        <w:tc>
          <w:tcPr>
            <w:tcW w:w="812" w:type="dxa"/>
            <w:vMerge w:val="continue"/>
            <w:tcBorders>
              <w:tl2br w:val="nil"/>
              <w:tr2bl w:val="nil"/>
            </w:tcBorders>
            <w:vAlign w:val="center"/>
          </w:tcPr>
          <w:p>
            <w:pPr>
              <w:rPr>
                <w:rFonts w:hint="eastAsia" w:ascii="仿宋_GB2312" w:hAnsi="仿宋_GB2312" w:eastAsia="仿宋_GB2312" w:cs="仿宋_GB2312"/>
              </w:rPr>
            </w:pPr>
          </w:p>
        </w:tc>
        <w:tc>
          <w:tcPr>
            <w:tcW w:w="80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满意度</w:t>
            </w:r>
          </w:p>
        </w:tc>
        <w:tc>
          <w:tcPr>
            <w:tcW w:w="2075" w:type="dxa"/>
            <w:tcBorders>
              <w:tl2br w:val="nil"/>
              <w:tr2bl w:val="nil"/>
            </w:tcBorders>
            <w:noWrap/>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服务对象满意度</w:t>
            </w:r>
          </w:p>
        </w:tc>
        <w:tc>
          <w:tcPr>
            <w:tcW w:w="4213" w:type="dxa"/>
            <w:tcBorders>
              <w:tl2br w:val="nil"/>
              <w:tr2bl w:val="nil"/>
            </w:tcBorders>
            <w:noWrap/>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满意度大于等于95%得满分，每减少5%扣除权重分的10%，扣完为止</w:t>
            </w:r>
          </w:p>
        </w:tc>
        <w:tc>
          <w:tcPr>
            <w:tcW w:w="3014" w:type="dxa"/>
            <w:tcBorders>
              <w:tl2br w:val="nil"/>
              <w:tr2bl w:val="nil"/>
            </w:tcBorders>
            <w:noWrap/>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服务对象满意度</w:t>
            </w:r>
          </w:p>
        </w:tc>
        <w:tc>
          <w:tcPr>
            <w:tcW w:w="638"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537"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95</w:t>
            </w:r>
          </w:p>
        </w:tc>
        <w:tc>
          <w:tcPr>
            <w:tcW w:w="575" w:type="dxa"/>
            <w:tcBorders>
              <w:tl2br w:val="nil"/>
              <w:tr2bl w:val="nil"/>
            </w:tcBorders>
            <w:vAlign w:val="center"/>
          </w:tcPr>
          <w:p>
            <w:pPr>
              <w:overflowPunct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394" w:type="dxa"/>
            <w:tcBorders>
              <w:tl2br w:val="nil"/>
              <w:tr2bl w:val="nil"/>
            </w:tcBorders>
            <w:vAlign w:val="center"/>
          </w:tcPr>
          <w:p>
            <w:pPr>
              <w:overflowPunct w:val="0"/>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21"/>
                <w14:textFill>
                  <w14:solidFill>
                    <w14:schemeClr w14:val="tx1"/>
                  </w14:solidFill>
                </w14:textFill>
              </w:rPr>
              <w:t>调查问卷</w:t>
            </w:r>
          </w:p>
        </w:tc>
      </w:tr>
    </w:tbl>
    <w:p>
      <w:pPr>
        <w:rPr>
          <w:rFonts w:hint="eastAsia" w:ascii="黑体" w:hAnsi="黑体" w:eastAsia="黑体" w:cs="黑体"/>
          <w:b w:val="0"/>
          <w:bCs/>
          <w:sz w:val="32"/>
          <w:szCs w:val="32"/>
        </w:rPr>
      </w:pPr>
      <w:r>
        <w:rPr>
          <w:rFonts w:hint="eastAsia" w:ascii="黑体" w:hAnsi="黑体" w:eastAsia="黑体" w:cs="黑体"/>
          <w:b w:val="0"/>
          <w:bCs/>
          <w:sz w:val="32"/>
          <w:szCs w:val="32"/>
        </w:rPr>
        <w:br w:type="page"/>
      </w:r>
    </w:p>
    <w:p>
      <w:pPr>
        <w:spacing w:line="584"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第二部分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资金绩效目标</w:t>
      </w:r>
    </w:p>
    <w:p>
      <w:pPr>
        <w:topLinePunct/>
        <w:adjustRightInd w:val="0"/>
        <w:snapToGrid w:val="0"/>
        <w:spacing w:line="58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1.应急管理信息平台设备购置专项资金绩效目标表</w:t>
      </w:r>
      <w:bookmarkStart w:id="0" w:name="_Toc29799657"/>
      <w:bookmarkEnd w:id="0"/>
    </w:p>
    <w:tbl>
      <w:tblPr>
        <w:tblStyle w:val="8"/>
        <w:tblW w:w="14062" w:type="dxa"/>
        <w:jc w:val="center"/>
        <w:tblInd w:w="-46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7"/>
        <w:gridCol w:w="2225"/>
        <w:gridCol w:w="2810"/>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62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435"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b w:val="0"/>
                <w:bCs/>
              </w:rPr>
              <w:t>2021 年 12 月底前完成本项目下所有系统的交付使用。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62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2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81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27"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25"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数量指标</w:t>
            </w:r>
          </w:p>
        </w:tc>
        <w:tc>
          <w:tcPr>
            <w:tcW w:w="2810"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构成模块数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整套系统由 3 个模块构成</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3 个</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27"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25"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质量指标</w:t>
            </w:r>
          </w:p>
        </w:tc>
        <w:tc>
          <w:tcPr>
            <w:tcW w:w="2810"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错误率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系统投用后能够平稳运行，错误率小于 5%</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27"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25"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时效指标</w:t>
            </w:r>
          </w:p>
        </w:tc>
        <w:tc>
          <w:tcPr>
            <w:tcW w:w="2810"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按计划时间完成率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2021年12月31日前投入使用</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27"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25"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成本指标</w:t>
            </w:r>
          </w:p>
        </w:tc>
        <w:tc>
          <w:tcPr>
            <w:tcW w:w="2810"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控制预算金额内</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控制预算金额内</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≤40 万元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预算法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27"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25"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社会效益指标</w:t>
            </w:r>
          </w:p>
        </w:tc>
        <w:tc>
          <w:tcPr>
            <w:tcW w:w="2810"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提高应急管理信息化水平</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提高全市应急管理能力和水平</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提高全市应急管理能力和水平</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27"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25"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服务对象满意度指标</w:t>
            </w:r>
          </w:p>
        </w:tc>
        <w:tc>
          <w:tcPr>
            <w:tcW w:w="2810"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用户满意度　</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用户满意度　</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仿宋_GB2312" w:eastAsia="仿宋_GB2312" w:cs="仿宋_GB2312"/>
              </w:rPr>
              <w:t>问卷调查</w:t>
            </w:r>
          </w:p>
        </w:tc>
      </w:tr>
    </w:tbl>
    <w:p>
      <w:pPr>
        <w:topLinePunct/>
        <w:adjustRightInd w:val="0"/>
        <w:snapToGrid w:val="0"/>
        <w:spacing w:line="580" w:lineRule="exact"/>
        <w:ind w:firstLine="1108" w:firstLineChars="396"/>
        <w:jc w:val="left"/>
        <w:rPr>
          <w:rFonts w:hint="eastAsia" w:ascii="仿宋_GB2312" w:hAnsi="仿宋_GB2312" w:eastAsia="仿宋_GB2312" w:cs="仿宋_GB2312"/>
          <w:kern w:val="0"/>
          <w:sz w:val="28"/>
          <w:szCs w:val="28"/>
        </w:rPr>
      </w:pPr>
    </w:p>
    <w:p>
      <w:pPr>
        <w:spacing w:line="14" w:lineRule="exact"/>
        <w:ind w:firstLine="420" w:firstLineChars="200"/>
        <w:jc w:val="center"/>
        <w:rPr>
          <w:rFonts w:ascii="Times New Roman" w:hAnsi="Times New Roman" w:eastAsia="仿宋_GB2312" w:cs="Times New Roman"/>
        </w:rPr>
      </w:pP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br w:type="page"/>
      </w:r>
    </w:p>
    <w:p>
      <w:pPr>
        <w:topLinePunct/>
        <w:adjustRightInd w:val="0"/>
        <w:snapToGrid w:val="0"/>
        <w:spacing w:line="58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2.第一次全国自然灾害综合风险普查工作专班经费绩效目标表</w:t>
      </w:r>
    </w:p>
    <w:p>
      <w:pPr>
        <w:spacing w:line="14" w:lineRule="exact"/>
        <w:ind w:firstLine="420" w:firstLineChars="200"/>
        <w:jc w:val="center"/>
        <w:rPr>
          <w:rFonts w:ascii="Times New Roman" w:hAnsi="Times New Roman" w:eastAsia="仿宋_GB2312" w:cs="Times New Roman"/>
        </w:rPr>
      </w:pPr>
    </w:p>
    <w:tbl>
      <w:tblPr>
        <w:tblStyle w:val="8"/>
        <w:tblW w:w="14083" w:type="dxa"/>
        <w:jc w:val="center"/>
        <w:tblInd w:w="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7"/>
        <w:gridCol w:w="2212"/>
        <w:gridCol w:w="2804"/>
        <w:gridCol w:w="3402"/>
        <w:gridCol w:w="1843"/>
        <w:gridCol w:w="21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63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446"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rPr>
              <w:t>保障第一次全国自然灾害普查工作专班正常运转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63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1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80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37"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2804"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12人</w:t>
            </w:r>
          </w:p>
        </w:tc>
        <w:tc>
          <w:tcPr>
            <w:tcW w:w="21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普查工作方案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37" w:type="dxa"/>
            <w:vMerge w:val="continue"/>
            <w:shd w:val="clear" w:color="auto" w:fill="auto"/>
            <w:vAlign w:val="center"/>
          </w:tcPr>
          <w:p>
            <w:pPr>
              <w:rPr>
                <w:rFonts w:hint="eastAsia" w:ascii="仿宋_GB2312" w:hAnsi="仿宋_GB2312" w:eastAsia="仿宋_GB2312" w:cs="仿宋_GB2312"/>
              </w:rPr>
            </w:pPr>
          </w:p>
        </w:tc>
        <w:tc>
          <w:tcPr>
            <w:tcW w:w="22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2804"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工作专班运转保障率</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各项日常工作保障率</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21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普查工作方案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37" w:type="dxa"/>
            <w:vMerge w:val="continue"/>
            <w:shd w:val="clear" w:color="auto" w:fill="auto"/>
            <w:vAlign w:val="center"/>
          </w:tcPr>
          <w:p>
            <w:pPr>
              <w:rPr>
                <w:rFonts w:hint="eastAsia" w:ascii="仿宋_GB2312" w:hAnsi="仿宋_GB2312" w:eastAsia="仿宋_GB2312" w:cs="仿宋_GB2312"/>
              </w:rPr>
            </w:pPr>
          </w:p>
        </w:tc>
        <w:tc>
          <w:tcPr>
            <w:tcW w:w="22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2804"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经费保障及时性</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及时保障工作专班各项日常办公需要</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及时保障</w:t>
            </w:r>
          </w:p>
        </w:tc>
        <w:tc>
          <w:tcPr>
            <w:tcW w:w="21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普查工作方案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37" w:type="dxa"/>
            <w:vMerge w:val="continue"/>
            <w:shd w:val="clear" w:color="auto" w:fill="auto"/>
            <w:vAlign w:val="center"/>
          </w:tcPr>
          <w:p>
            <w:pPr>
              <w:rPr>
                <w:rFonts w:hint="eastAsia" w:ascii="仿宋_GB2312" w:hAnsi="仿宋_GB2312" w:eastAsia="仿宋_GB2312" w:cs="仿宋_GB2312"/>
              </w:rPr>
            </w:pPr>
          </w:p>
        </w:tc>
        <w:tc>
          <w:tcPr>
            <w:tcW w:w="22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2804"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专班日常经费开支标准</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办公设备购置、资料印刷、场地租赁等公用经费的开支标准</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按统一规定执行</w:t>
            </w:r>
          </w:p>
        </w:tc>
        <w:tc>
          <w:tcPr>
            <w:tcW w:w="21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普查工作方案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37"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804"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保障工作专班日常工作需要</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保障工作专班日常工作需要，维持专班正常运转</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维持工作专班正常运转</w:t>
            </w:r>
          </w:p>
        </w:tc>
        <w:tc>
          <w:tcPr>
            <w:tcW w:w="21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普查工作方案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37"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804"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1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问卷调查</w:t>
            </w:r>
          </w:p>
        </w:tc>
      </w:tr>
    </w:tbl>
    <w:p>
      <w:pPr>
        <w:topLinePunct/>
        <w:adjustRightInd w:val="0"/>
        <w:snapToGrid w:val="0"/>
        <w:spacing w:line="580" w:lineRule="exact"/>
        <w:ind w:firstLine="560" w:firstLineChars="200"/>
        <w:jc w:val="left"/>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br w:type="page"/>
      </w:r>
    </w:p>
    <w:p>
      <w:pPr>
        <w:topLinePunct/>
        <w:adjustRightInd w:val="0"/>
        <w:snapToGrid w:val="0"/>
        <w:spacing w:line="58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3.应急管理专项业务经费绩效目标表</w:t>
      </w:r>
    </w:p>
    <w:p>
      <w:pPr>
        <w:spacing w:line="14" w:lineRule="exact"/>
        <w:ind w:firstLine="420" w:firstLineChars="200"/>
        <w:jc w:val="center"/>
        <w:rPr>
          <w:rFonts w:ascii="Times New Roman" w:hAnsi="Times New Roman" w:eastAsia="仿宋_GB2312" w:cs="Times New Roman"/>
        </w:rPr>
      </w:pPr>
    </w:p>
    <w:tbl>
      <w:tblPr>
        <w:tblStyle w:val="8"/>
        <w:tblW w:w="14096" w:type="dxa"/>
        <w:jc w:val="center"/>
        <w:tblInd w:w="-4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6"/>
        <w:gridCol w:w="2188"/>
        <w:gridCol w:w="3226"/>
        <w:gridCol w:w="3402"/>
        <w:gridCol w:w="1843"/>
        <w:gridCol w:w="17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65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440"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通过项目的开展，有效遏制重特大生产安全事故发生，维护全市安全生产形势稳定，提升防灾减灾及应急救援能力。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65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18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322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178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56"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18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3226"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救援队员数量增长率</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救援队员数量与上年度比值</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1781"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《生产安全事故应急条例》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56" w:type="dxa"/>
            <w:vMerge w:val="continue"/>
            <w:shd w:val="clear" w:color="auto" w:fill="auto"/>
            <w:vAlign w:val="center"/>
          </w:tcPr>
          <w:p>
            <w:pPr>
              <w:rPr>
                <w:rFonts w:hint="eastAsia" w:ascii="仿宋_GB2312" w:hAnsi="仿宋_GB2312" w:eastAsia="仿宋_GB2312" w:cs="仿宋_GB2312"/>
              </w:rPr>
            </w:pPr>
          </w:p>
        </w:tc>
        <w:tc>
          <w:tcPr>
            <w:tcW w:w="218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3226"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微信公众号、官方微博更新次数</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微信公众号、官方微博更新次数</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≥300次</w:t>
            </w:r>
          </w:p>
        </w:tc>
        <w:tc>
          <w:tcPr>
            <w:tcW w:w="1781"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56" w:type="dxa"/>
            <w:vMerge w:val="continue"/>
            <w:shd w:val="clear" w:color="auto" w:fill="auto"/>
            <w:vAlign w:val="center"/>
          </w:tcPr>
          <w:p>
            <w:pPr>
              <w:rPr>
                <w:rFonts w:hint="eastAsia" w:ascii="仿宋_GB2312" w:hAnsi="仿宋_GB2312" w:eastAsia="仿宋_GB2312" w:cs="仿宋_GB2312"/>
              </w:rPr>
            </w:pPr>
          </w:p>
        </w:tc>
        <w:tc>
          <w:tcPr>
            <w:tcW w:w="218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3226"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科普活动参与人次</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开展科普宣传活动总参与人次</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≥5000人次</w:t>
            </w:r>
          </w:p>
        </w:tc>
        <w:tc>
          <w:tcPr>
            <w:tcW w:w="1781"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56" w:type="dxa"/>
            <w:vMerge w:val="continue"/>
            <w:shd w:val="clear" w:color="auto" w:fill="auto"/>
            <w:vAlign w:val="center"/>
          </w:tcPr>
          <w:p>
            <w:pPr>
              <w:rPr>
                <w:rFonts w:hint="eastAsia" w:ascii="仿宋_GB2312" w:hAnsi="仿宋_GB2312" w:eastAsia="仿宋_GB2312" w:cs="仿宋_GB2312"/>
              </w:rPr>
            </w:pPr>
          </w:p>
        </w:tc>
        <w:tc>
          <w:tcPr>
            <w:tcW w:w="218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3226"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行政复议、诉讼率</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在行政执法中因被管理对象不服，提出复议或诉讼的比例</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w:t>
            </w:r>
          </w:p>
        </w:tc>
        <w:tc>
          <w:tcPr>
            <w:tcW w:w="1781"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行政许可法、行政复议法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56" w:type="dxa"/>
            <w:vMerge w:val="continue"/>
            <w:shd w:val="clear" w:color="auto" w:fill="auto"/>
            <w:vAlign w:val="center"/>
          </w:tcPr>
          <w:p>
            <w:pPr>
              <w:rPr>
                <w:rFonts w:hint="eastAsia" w:ascii="仿宋_GB2312" w:hAnsi="仿宋_GB2312" w:eastAsia="仿宋_GB2312" w:cs="仿宋_GB2312"/>
              </w:rPr>
            </w:pPr>
          </w:p>
        </w:tc>
        <w:tc>
          <w:tcPr>
            <w:tcW w:w="218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3226"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救援队员业务素质达标率</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救援队员业务素质达标率</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1781"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《生产安全事故应急条例》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56" w:type="dxa"/>
            <w:vMerge w:val="continue"/>
            <w:shd w:val="clear" w:color="auto" w:fill="auto"/>
            <w:vAlign w:val="center"/>
          </w:tcPr>
          <w:p>
            <w:pPr>
              <w:rPr>
                <w:rFonts w:hint="eastAsia" w:ascii="仿宋_GB2312" w:hAnsi="仿宋_GB2312" w:eastAsia="仿宋_GB2312" w:cs="仿宋_GB2312"/>
              </w:rPr>
            </w:pPr>
          </w:p>
        </w:tc>
        <w:tc>
          <w:tcPr>
            <w:tcW w:w="218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3226"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生产安全事故调查依法结案率</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生产安全事故调查在法定时限内结案</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1781"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《生产安全事故报告和调查处理条例》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56" w:type="dxa"/>
            <w:vMerge w:val="continue"/>
            <w:shd w:val="clear" w:color="auto" w:fill="auto"/>
            <w:vAlign w:val="center"/>
          </w:tcPr>
          <w:p>
            <w:pPr>
              <w:rPr>
                <w:rFonts w:hint="eastAsia" w:ascii="仿宋_GB2312" w:hAnsi="仿宋_GB2312" w:eastAsia="仿宋_GB2312" w:cs="仿宋_GB2312"/>
              </w:rPr>
            </w:pPr>
          </w:p>
        </w:tc>
        <w:tc>
          <w:tcPr>
            <w:tcW w:w="218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3226"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按计划完成率</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各项工作按照全年工作计划或市委、市政府、省应急厅要求的时限完成率。</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1781"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56" w:type="dxa"/>
            <w:vMerge w:val="continue"/>
            <w:shd w:val="clear" w:color="auto" w:fill="auto"/>
            <w:vAlign w:val="center"/>
          </w:tcPr>
          <w:p>
            <w:pPr>
              <w:rPr>
                <w:rFonts w:hint="eastAsia" w:ascii="仿宋_GB2312" w:hAnsi="仿宋_GB2312" w:eastAsia="仿宋_GB2312" w:cs="仿宋_GB2312"/>
              </w:rPr>
            </w:pPr>
          </w:p>
        </w:tc>
        <w:tc>
          <w:tcPr>
            <w:tcW w:w="218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3226"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控制在预算金额内</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压缩监管成本，减少经费支出。</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≤605.45万元</w:t>
            </w:r>
          </w:p>
        </w:tc>
        <w:tc>
          <w:tcPr>
            <w:tcW w:w="1781"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《预算法》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5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18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3226"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提升全市防灾减灾能力和水平</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全市安全生产形势稳定提升全市防灾减灾能力和水平。</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全市安全生产形势稳定提升全市防灾减灾能力和水平。</w:t>
            </w:r>
          </w:p>
        </w:tc>
        <w:tc>
          <w:tcPr>
            <w:tcW w:w="1781"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年度工作计划及年度工作目标。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5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8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3226"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1781"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br w:type="page"/>
      </w:r>
    </w:p>
    <w:p>
      <w:pPr>
        <w:topLinePunct/>
        <w:adjustRightInd w:val="0"/>
        <w:snapToGrid w:val="0"/>
        <w:spacing w:line="58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4.应急管理专项工作保障经费绩效目标表</w:t>
      </w:r>
    </w:p>
    <w:p>
      <w:pPr>
        <w:spacing w:line="14" w:lineRule="exact"/>
        <w:ind w:firstLine="420" w:firstLineChars="200"/>
        <w:jc w:val="center"/>
        <w:rPr>
          <w:rFonts w:ascii="Times New Roman" w:hAnsi="Times New Roman" w:eastAsia="仿宋_GB2312" w:cs="Times New Roman"/>
        </w:rPr>
      </w:pPr>
    </w:p>
    <w:tbl>
      <w:tblPr>
        <w:tblStyle w:val="8"/>
        <w:tblW w:w="14120" w:type="dxa"/>
        <w:jc w:val="center"/>
        <w:tblInd w:w="-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1"/>
        <w:gridCol w:w="2162"/>
        <w:gridCol w:w="3103"/>
        <w:gridCol w:w="3402"/>
        <w:gridCol w:w="1843"/>
        <w:gridCol w:w="1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68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439"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rPr>
              <w:t>通过项目的开展全面保障安全生产和应急管理各专项业务正常开展，遏制重特大生产安全事故发生，维护全市安全生产形势稳定，提升防灾减灾及应急救援能力。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68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16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310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192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8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16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数量指标</w:t>
            </w:r>
          </w:p>
        </w:tc>
        <w:tc>
          <w:tcPr>
            <w:tcW w:w="310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专用设备及时维修维护率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保障专用设备及时维修维护，运行正常</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100%</w:t>
            </w:r>
          </w:p>
        </w:tc>
        <w:tc>
          <w:tcPr>
            <w:tcW w:w="1929"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81" w:type="dxa"/>
            <w:vMerge w:val="continue"/>
            <w:shd w:val="clear" w:color="auto" w:fill="auto"/>
            <w:vAlign w:val="center"/>
          </w:tcPr>
          <w:p/>
        </w:tc>
        <w:tc>
          <w:tcPr>
            <w:tcW w:w="216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质量指标</w:t>
            </w:r>
          </w:p>
        </w:tc>
        <w:tc>
          <w:tcPr>
            <w:tcW w:w="310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许可证等印刷品保障率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根据业务开展需要提供印刷保障</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100%</w:t>
            </w:r>
          </w:p>
        </w:tc>
        <w:tc>
          <w:tcPr>
            <w:tcW w:w="1929"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81" w:type="dxa"/>
            <w:vMerge w:val="continue"/>
            <w:shd w:val="clear" w:color="auto" w:fill="auto"/>
            <w:vAlign w:val="center"/>
          </w:tcPr>
          <w:p/>
        </w:tc>
        <w:tc>
          <w:tcPr>
            <w:tcW w:w="216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时效指标</w:t>
            </w:r>
          </w:p>
        </w:tc>
        <w:tc>
          <w:tcPr>
            <w:tcW w:w="310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运行保障工作按时完成率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运行保障工作按时完成率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≥95%</w:t>
            </w:r>
          </w:p>
        </w:tc>
        <w:tc>
          <w:tcPr>
            <w:tcW w:w="1929"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81" w:type="dxa"/>
            <w:vMerge w:val="continue"/>
            <w:shd w:val="clear" w:color="auto" w:fill="auto"/>
            <w:vAlign w:val="center"/>
          </w:tcPr>
          <w:p/>
        </w:tc>
        <w:tc>
          <w:tcPr>
            <w:tcW w:w="216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成本指标</w:t>
            </w:r>
          </w:p>
        </w:tc>
        <w:tc>
          <w:tcPr>
            <w:tcW w:w="310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控制在预算金额内</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压缩监管成本，减少经费支出。</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≤194.93万元</w:t>
            </w:r>
          </w:p>
        </w:tc>
        <w:tc>
          <w:tcPr>
            <w:tcW w:w="1929"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预算法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8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16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社会效益指标</w:t>
            </w:r>
          </w:p>
        </w:tc>
        <w:tc>
          <w:tcPr>
            <w:tcW w:w="310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应急保障能力提升。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全市安全生产形势稳定，应急保障能力提升。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全市安全生产形势稳定，应急保障能力提升。</w:t>
            </w:r>
          </w:p>
        </w:tc>
        <w:tc>
          <w:tcPr>
            <w:tcW w:w="1929"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年度工作计划及年度工作目标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68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16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服务对象满意度指标</w:t>
            </w:r>
          </w:p>
        </w:tc>
        <w:tc>
          <w:tcPr>
            <w:tcW w:w="310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服务对象满意度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服务对象满意度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≥95%</w:t>
            </w:r>
          </w:p>
        </w:tc>
        <w:tc>
          <w:tcPr>
            <w:tcW w:w="1929"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问卷调查</w:t>
            </w:r>
          </w:p>
        </w:tc>
      </w:tr>
    </w:tbl>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br w:type="page"/>
      </w:r>
    </w:p>
    <w:p>
      <w:pPr>
        <w:topLinePunct/>
        <w:adjustRightInd w:val="0"/>
        <w:snapToGrid w:val="0"/>
        <w:spacing w:line="58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5.安全生产重特大事故救援演练专项经费绩效目标表</w:t>
      </w:r>
    </w:p>
    <w:p>
      <w:pPr>
        <w:spacing w:line="14" w:lineRule="exact"/>
        <w:ind w:firstLine="420" w:firstLineChars="200"/>
        <w:jc w:val="center"/>
        <w:rPr>
          <w:rFonts w:ascii="Times New Roman" w:hAnsi="Times New Roman" w:eastAsia="仿宋_GB2312" w:cs="Times New Roman"/>
        </w:rPr>
      </w:pPr>
    </w:p>
    <w:tbl>
      <w:tblPr>
        <w:tblStyle w:val="8"/>
        <w:tblW w:w="14170" w:type="dxa"/>
        <w:jc w:val="center"/>
        <w:tblInd w:w="-1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1"/>
        <w:gridCol w:w="2137"/>
        <w:gridCol w:w="2986"/>
        <w:gridCol w:w="3402"/>
        <w:gridCol w:w="1843"/>
        <w:gridCol w:w="20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3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439"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通过项目的开展完成锻炼应急救援队伍，实现应急处置能力的提升。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3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13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98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07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31"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13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2986"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演练次数　</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演练次数　</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1次</w:t>
            </w:r>
          </w:p>
        </w:tc>
        <w:tc>
          <w:tcPr>
            <w:tcW w:w="2071"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31"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13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2986"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参演人数</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参演人数</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400人</w:t>
            </w:r>
          </w:p>
        </w:tc>
        <w:tc>
          <w:tcPr>
            <w:tcW w:w="2071"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31"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13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2986"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演练规范程度　</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演练流程规范率</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2071"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31" w:type="dxa"/>
            <w:vMerge w:val="continue"/>
            <w:shd w:val="clear" w:color="auto" w:fill="auto"/>
            <w:vAlign w:val="center"/>
          </w:tcPr>
          <w:p>
            <w:pPr>
              <w:rPr>
                <w:rFonts w:hint="eastAsia" w:ascii="仿宋_GB2312" w:hAnsi="仿宋_GB2312" w:eastAsia="仿宋_GB2312" w:cs="仿宋_GB2312"/>
              </w:rPr>
            </w:pPr>
          </w:p>
        </w:tc>
        <w:tc>
          <w:tcPr>
            <w:tcW w:w="213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2986"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完成时间</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按时完成率　</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2071"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31" w:type="dxa"/>
            <w:vMerge w:val="continue"/>
            <w:shd w:val="clear" w:color="auto" w:fill="auto"/>
            <w:vAlign w:val="center"/>
          </w:tcPr>
          <w:p>
            <w:pPr>
              <w:rPr>
                <w:rFonts w:hint="eastAsia" w:ascii="仿宋_GB2312" w:hAnsi="仿宋_GB2312" w:eastAsia="仿宋_GB2312" w:cs="仿宋_GB2312"/>
              </w:rPr>
            </w:pPr>
          </w:p>
        </w:tc>
        <w:tc>
          <w:tcPr>
            <w:tcW w:w="213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2986"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参演人员劳务费</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300元/人×400人</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12万元</w:t>
            </w:r>
          </w:p>
        </w:tc>
        <w:tc>
          <w:tcPr>
            <w:tcW w:w="2071"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3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13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986"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提高应急处置能力</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突发事件应急处置完成率</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2071"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3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3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986"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参演人员认可程度</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参演人员满意率　</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071"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br w:type="page"/>
      </w:r>
    </w:p>
    <w:p>
      <w:pPr>
        <w:topLinePunct/>
        <w:adjustRightInd w:val="0"/>
        <w:snapToGrid w:val="0"/>
        <w:spacing w:line="580" w:lineRule="exact"/>
        <w:ind w:firstLine="560" w:firstLineChars="200"/>
        <w:jc w:val="left"/>
        <w:rPr>
          <w:rFonts w:hint="eastAsia" w:ascii="仿宋_GB2312" w:hAnsi="仿宋_GB2312" w:eastAsia="仿宋_GB2312" w:cs="仿宋_GB2312"/>
          <w:kern w:val="0"/>
          <w:sz w:val="28"/>
          <w:szCs w:val="28"/>
        </w:rPr>
      </w:pPr>
      <w:bookmarkStart w:id="3" w:name="_GoBack"/>
      <w:bookmarkEnd w:id="3"/>
      <w:r>
        <w:rPr>
          <w:rFonts w:hint="eastAsia" w:ascii="仿宋_GB2312" w:hAnsi="仿宋_GB2312" w:eastAsia="仿宋_GB2312" w:cs="仿宋_GB2312"/>
          <w:kern w:val="0"/>
          <w:sz w:val="28"/>
          <w:szCs w:val="28"/>
        </w:rPr>
        <w:t>6.安全生产执法队经费绩效目标表</w:t>
      </w:r>
    </w:p>
    <w:p>
      <w:pPr>
        <w:spacing w:line="14" w:lineRule="exact"/>
        <w:ind w:firstLine="420" w:firstLineChars="200"/>
        <w:jc w:val="center"/>
        <w:rPr>
          <w:rFonts w:ascii="Times New Roman" w:hAnsi="Times New Roman" w:eastAsia="仿宋_GB2312" w:cs="Times New Roman"/>
        </w:rPr>
      </w:pPr>
    </w:p>
    <w:tbl>
      <w:tblPr>
        <w:tblStyle w:val="8"/>
        <w:tblW w:w="14191" w:type="dxa"/>
        <w:jc w:val="center"/>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3"/>
        <w:gridCol w:w="2138"/>
        <w:gridCol w:w="2512"/>
        <w:gridCol w:w="3813"/>
        <w:gridCol w:w="1050"/>
        <w:gridCol w:w="29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5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438"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解决好安全生产监管监察力量不足与监管监察新形势新任务的要求不相适应的问题。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5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13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51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81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05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92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53"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13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25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劳务派遣人数</w:t>
            </w:r>
          </w:p>
        </w:tc>
        <w:tc>
          <w:tcPr>
            <w:tcW w:w="3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劳务派遣人数</w:t>
            </w:r>
          </w:p>
        </w:tc>
        <w:tc>
          <w:tcPr>
            <w:tcW w:w="10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25人</w:t>
            </w:r>
          </w:p>
        </w:tc>
        <w:tc>
          <w:tcPr>
            <w:tcW w:w="29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《廊坊市机构编制委员会办公室关于市安全生产监督管理局增加社会化用工的批复》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53" w:type="dxa"/>
            <w:vMerge w:val="continue"/>
            <w:shd w:val="clear" w:color="auto" w:fill="auto"/>
            <w:vAlign w:val="center"/>
          </w:tcPr>
          <w:p>
            <w:pPr>
              <w:rPr>
                <w:rFonts w:hint="eastAsia" w:ascii="仿宋_GB2312" w:hAnsi="仿宋_GB2312" w:eastAsia="仿宋_GB2312" w:cs="仿宋_GB2312"/>
              </w:rPr>
            </w:pPr>
          </w:p>
        </w:tc>
        <w:tc>
          <w:tcPr>
            <w:tcW w:w="213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25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对劳务派遣人员考核合格率</w:t>
            </w:r>
          </w:p>
        </w:tc>
        <w:tc>
          <w:tcPr>
            <w:tcW w:w="3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按规定对劳务派遣人员进行定期考核</w:t>
            </w:r>
          </w:p>
        </w:tc>
        <w:tc>
          <w:tcPr>
            <w:tcW w:w="10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9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《廊坊市机构编制委员会办公室关于市安全生产监督管理局增加社会化用工的批复》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53" w:type="dxa"/>
            <w:vMerge w:val="continue"/>
            <w:shd w:val="clear" w:color="auto" w:fill="auto"/>
            <w:vAlign w:val="center"/>
          </w:tcPr>
          <w:p>
            <w:pPr>
              <w:rPr>
                <w:rFonts w:hint="eastAsia" w:ascii="仿宋_GB2312" w:hAnsi="仿宋_GB2312" w:eastAsia="仿宋_GB2312" w:cs="仿宋_GB2312"/>
              </w:rPr>
            </w:pPr>
          </w:p>
        </w:tc>
        <w:tc>
          <w:tcPr>
            <w:tcW w:w="213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25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基本工资及保险保障率</w:t>
            </w:r>
          </w:p>
        </w:tc>
        <w:tc>
          <w:tcPr>
            <w:tcW w:w="3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基本工资及保险按下发薪按时按月发放到位</w:t>
            </w:r>
          </w:p>
        </w:tc>
        <w:tc>
          <w:tcPr>
            <w:tcW w:w="10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29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《廊坊市机构编制委员会办公室关于市安全生产监督管理局增加社会化用工的批复》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53" w:type="dxa"/>
            <w:vMerge w:val="continue"/>
            <w:shd w:val="clear" w:color="auto" w:fill="auto"/>
            <w:vAlign w:val="center"/>
          </w:tcPr>
          <w:p>
            <w:pPr>
              <w:rPr>
                <w:rFonts w:hint="eastAsia" w:ascii="仿宋_GB2312" w:hAnsi="仿宋_GB2312" w:eastAsia="仿宋_GB2312" w:cs="仿宋_GB2312"/>
              </w:rPr>
            </w:pPr>
          </w:p>
        </w:tc>
        <w:tc>
          <w:tcPr>
            <w:tcW w:w="213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25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劳务派遣人员劳务费</w:t>
            </w:r>
          </w:p>
        </w:tc>
        <w:tc>
          <w:tcPr>
            <w:tcW w:w="3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4500元/人/月*12个月*25人=135万元</w:t>
            </w:r>
          </w:p>
        </w:tc>
        <w:tc>
          <w:tcPr>
            <w:tcW w:w="10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135万元</w:t>
            </w:r>
          </w:p>
        </w:tc>
        <w:tc>
          <w:tcPr>
            <w:tcW w:w="29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《廊坊市机构编制委员会办公室关于市安全生产监督管理局增加社会化用工的批复》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53"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13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5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劳务派遣人员稳定</w:t>
            </w:r>
          </w:p>
        </w:tc>
        <w:tc>
          <w:tcPr>
            <w:tcW w:w="3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劳务派遣人员稳定</w:t>
            </w:r>
          </w:p>
        </w:tc>
        <w:tc>
          <w:tcPr>
            <w:tcW w:w="10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稳定</w:t>
            </w:r>
          </w:p>
        </w:tc>
        <w:tc>
          <w:tcPr>
            <w:tcW w:w="29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《廊坊市机构编制委员会办公室关于市安全生产监督管理局增加社会化用工的批复》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53"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3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5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劳务派遣人员满意度</w:t>
            </w:r>
          </w:p>
        </w:tc>
        <w:tc>
          <w:tcPr>
            <w:tcW w:w="3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劳务派遣人员满意度</w:t>
            </w:r>
          </w:p>
        </w:tc>
        <w:tc>
          <w:tcPr>
            <w:tcW w:w="10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9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br w:type="page"/>
      </w:r>
    </w:p>
    <w:p>
      <w:pPr>
        <w:topLinePunct/>
        <w:adjustRightInd w:val="0"/>
        <w:snapToGrid w:val="0"/>
        <w:spacing w:line="58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7.安全生产专项整治三年行动专项资金绩效目标表</w:t>
      </w:r>
    </w:p>
    <w:p>
      <w:pPr>
        <w:spacing w:line="14" w:lineRule="exact"/>
        <w:ind w:firstLine="420" w:firstLineChars="200"/>
        <w:jc w:val="center"/>
        <w:rPr>
          <w:rFonts w:ascii="Times New Roman" w:hAnsi="Times New Roman" w:eastAsia="仿宋_GB2312" w:cs="Times New Roman"/>
        </w:rPr>
      </w:pPr>
    </w:p>
    <w:tbl>
      <w:tblPr>
        <w:tblStyle w:val="8"/>
        <w:tblW w:w="14208" w:type="dxa"/>
        <w:jc w:val="center"/>
        <w:tblInd w:w="-14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5"/>
        <w:gridCol w:w="2112"/>
        <w:gridCol w:w="2788"/>
        <w:gridCol w:w="3535"/>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7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43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建立完善隐患排查治理“一张网”信息化管理系统，企业做到自查自报自改，实现动态分析、全过程记录管理和评价，防止漏管失控。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7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11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78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53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5"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1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278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组织开展的行业领域主管部门数</w:t>
            </w:r>
          </w:p>
        </w:tc>
        <w:tc>
          <w:tcPr>
            <w:tcW w:w="353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指导、推动、督促全市安全生产专项整治三年行动重大政策措施、重点工作任务落地落实。</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13个</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廊坊市安全生产专项整治三年行动工作方案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5" w:type="dxa"/>
            <w:vMerge w:val="continue"/>
            <w:shd w:val="clear" w:color="auto" w:fill="auto"/>
            <w:vAlign w:val="center"/>
          </w:tcPr>
          <w:p>
            <w:pPr>
              <w:rPr>
                <w:rFonts w:hint="eastAsia" w:ascii="仿宋_GB2312" w:hAnsi="仿宋_GB2312" w:eastAsia="仿宋_GB2312" w:cs="仿宋_GB2312"/>
              </w:rPr>
            </w:pPr>
          </w:p>
        </w:tc>
        <w:tc>
          <w:tcPr>
            <w:tcW w:w="21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278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事故起数和死亡人数“双下降”</w:t>
            </w:r>
          </w:p>
        </w:tc>
        <w:tc>
          <w:tcPr>
            <w:tcW w:w="353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事故起数和死亡人数“双下降”</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事故起数和死亡人数“双下降”。</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廊坊市安全生产专项整治三年行动工作方案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5" w:type="dxa"/>
            <w:vMerge w:val="continue"/>
            <w:shd w:val="clear" w:color="auto" w:fill="auto"/>
            <w:vAlign w:val="center"/>
          </w:tcPr>
          <w:p>
            <w:pPr>
              <w:rPr>
                <w:rFonts w:hint="eastAsia" w:ascii="仿宋_GB2312" w:hAnsi="仿宋_GB2312" w:eastAsia="仿宋_GB2312" w:cs="仿宋_GB2312"/>
              </w:rPr>
            </w:pPr>
          </w:p>
        </w:tc>
        <w:tc>
          <w:tcPr>
            <w:tcW w:w="21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278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各阶段任务完成率</w:t>
            </w:r>
          </w:p>
        </w:tc>
        <w:tc>
          <w:tcPr>
            <w:tcW w:w="353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按照工作方案时间节点要求，</w:t>
            </w:r>
          </w:p>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各阶段任务完成率</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廊坊市安全生产专项整治三年行动工作方案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5" w:type="dxa"/>
            <w:vMerge w:val="continue"/>
            <w:shd w:val="clear" w:color="auto" w:fill="auto"/>
            <w:vAlign w:val="center"/>
          </w:tcPr>
          <w:p>
            <w:pPr>
              <w:rPr>
                <w:rFonts w:hint="eastAsia" w:ascii="仿宋_GB2312" w:hAnsi="仿宋_GB2312" w:eastAsia="仿宋_GB2312" w:cs="仿宋_GB2312"/>
              </w:rPr>
            </w:pPr>
          </w:p>
        </w:tc>
        <w:tc>
          <w:tcPr>
            <w:tcW w:w="21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278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成本支出</w:t>
            </w:r>
          </w:p>
        </w:tc>
        <w:tc>
          <w:tcPr>
            <w:tcW w:w="353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不超过年度预算</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≤33万元</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《预算法》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1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78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减少生产安全事故起数</w:t>
            </w:r>
          </w:p>
        </w:tc>
        <w:tc>
          <w:tcPr>
            <w:tcW w:w="353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减少生产安全事故起数</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减少生产安全事故起数</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廊坊市安全生产专项整治三年行动工作方案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1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78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53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br w:type="page"/>
      </w:r>
    </w:p>
    <w:p>
      <w:pPr>
        <w:topLinePunct/>
        <w:adjustRightInd w:val="0"/>
        <w:snapToGrid w:val="0"/>
        <w:spacing w:line="58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8.2021年省级自然灾害救助专项资金（冀财建〔2020〕295号）绩效目标表</w:t>
      </w:r>
    </w:p>
    <w:p>
      <w:pPr>
        <w:spacing w:line="14" w:lineRule="exact"/>
        <w:ind w:firstLine="420" w:firstLineChars="200"/>
        <w:jc w:val="center"/>
        <w:rPr>
          <w:rFonts w:ascii="Times New Roman" w:hAnsi="Times New Roman" w:eastAsia="仿宋_GB2312" w:cs="Times New Roman"/>
        </w:rPr>
      </w:pPr>
    </w:p>
    <w:tbl>
      <w:tblPr>
        <w:tblStyle w:val="8"/>
        <w:tblW w:w="14243" w:type="dxa"/>
        <w:jc w:val="center"/>
        <w:tblInd w:w="-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9"/>
        <w:gridCol w:w="2125"/>
        <w:gridCol w:w="2800"/>
        <w:gridCol w:w="3663"/>
        <w:gridCol w:w="1637"/>
        <w:gridCol w:w="22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7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464"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通过项目的开展完成锻炼应急救援队伍，实现救灾应急处置能力的提升。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7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12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80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66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63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23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280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组织演练次数</w:t>
            </w:r>
          </w:p>
        </w:tc>
        <w:tc>
          <w:tcPr>
            <w:tcW w:w="366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组织演练次数</w:t>
            </w:r>
          </w:p>
        </w:tc>
        <w:tc>
          <w:tcPr>
            <w:tcW w:w="163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1次</w:t>
            </w:r>
          </w:p>
        </w:tc>
        <w:tc>
          <w:tcPr>
            <w:tcW w:w="2239"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《自然灾害救助条例》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9" w:type="dxa"/>
            <w:vMerge w:val="continue"/>
            <w:shd w:val="clear" w:color="auto" w:fill="auto"/>
            <w:vAlign w:val="center"/>
          </w:tcPr>
          <w:p>
            <w:pPr>
              <w:rPr>
                <w:rFonts w:hint="eastAsia" w:ascii="仿宋_GB2312" w:hAnsi="仿宋_GB2312" w:eastAsia="仿宋_GB2312" w:cs="仿宋_GB2312"/>
              </w:rPr>
            </w:pP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280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演练规范率</w:t>
            </w:r>
          </w:p>
        </w:tc>
        <w:tc>
          <w:tcPr>
            <w:tcW w:w="366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按照演练流程进行演练</w:t>
            </w:r>
          </w:p>
        </w:tc>
        <w:tc>
          <w:tcPr>
            <w:tcW w:w="163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2239"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《自然灾害救助条例》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9" w:type="dxa"/>
            <w:vMerge w:val="continue"/>
            <w:shd w:val="clear" w:color="auto" w:fill="auto"/>
            <w:vAlign w:val="center"/>
          </w:tcPr>
          <w:p>
            <w:pPr>
              <w:rPr>
                <w:rFonts w:hint="eastAsia" w:ascii="仿宋_GB2312" w:hAnsi="仿宋_GB2312" w:eastAsia="仿宋_GB2312" w:cs="仿宋_GB2312"/>
              </w:rPr>
            </w:pP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280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按时完成率</w:t>
            </w:r>
          </w:p>
        </w:tc>
        <w:tc>
          <w:tcPr>
            <w:tcW w:w="366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在演练计划时间内完成</w:t>
            </w:r>
          </w:p>
        </w:tc>
        <w:tc>
          <w:tcPr>
            <w:tcW w:w="163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按时完成</w:t>
            </w:r>
          </w:p>
        </w:tc>
        <w:tc>
          <w:tcPr>
            <w:tcW w:w="2239"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《自然灾害救助条例》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9" w:type="dxa"/>
            <w:vMerge w:val="continue"/>
            <w:shd w:val="clear" w:color="auto" w:fill="auto"/>
            <w:vAlign w:val="center"/>
          </w:tcPr>
          <w:p>
            <w:pPr>
              <w:rPr>
                <w:rFonts w:hint="eastAsia" w:ascii="仿宋_GB2312" w:hAnsi="仿宋_GB2312" w:eastAsia="仿宋_GB2312" w:cs="仿宋_GB2312"/>
              </w:rPr>
            </w:pP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280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演练成本控制率</w:t>
            </w:r>
          </w:p>
        </w:tc>
        <w:tc>
          <w:tcPr>
            <w:tcW w:w="366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不超过演练预算</w:t>
            </w:r>
          </w:p>
        </w:tc>
        <w:tc>
          <w:tcPr>
            <w:tcW w:w="163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≤10万元</w:t>
            </w:r>
          </w:p>
        </w:tc>
        <w:tc>
          <w:tcPr>
            <w:tcW w:w="2239"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《自然灾害救助条例》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80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提高应急处置能力</w:t>
            </w:r>
          </w:p>
        </w:tc>
        <w:tc>
          <w:tcPr>
            <w:tcW w:w="366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提高突发灾害应急处置能力</w:t>
            </w:r>
          </w:p>
        </w:tc>
        <w:tc>
          <w:tcPr>
            <w:tcW w:w="163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提高</w:t>
            </w:r>
          </w:p>
        </w:tc>
        <w:tc>
          <w:tcPr>
            <w:tcW w:w="2239"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《自然灾害救助条例》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80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66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63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239"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br w:type="page"/>
      </w:r>
    </w:p>
    <w:p>
      <w:pPr>
        <w:topLinePunct/>
        <w:adjustRightInd w:val="0"/>
        <w:snapToGrid w:val="0"/>
        <w:spacing w:line="58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9.安全生产举报奖励专项资金绩效目标表</w:t>
      </w:r>
    </w:p>
    <w:p>
      <w:pPr>
        <w:spacing w:line="14" w:lineRule="exact"/>
        <w:ind w:firstLine="420" w:firstLineChars="200"/>
        <w:jc w:val="center"/>
        <w:rPr>
          <w:rFonts w:ascii="Times New Roman" w:hAnsi="Times New Roman" w:eastAsia="仿宋_GB2312" w:cs="Times New Roman"/>
        </w:rPr>
      </w:pPr>
    </w:p>
    <w:tbl>
      <w:tblPr>
        <w:tblStyle w:val="8"/>
        <w:tblW w:w="14229" w:type="dxa"/>
        <w:jc w:val="center"/>
        <w:tblInd w:w="-64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2"/>
        <w:gridCol w:w="2125"/>
        <w:gridCol w:w="2813"/>
        <w:gridCol w:w="3650"/>
        <w:gridCol w:w="1987"/>
        <w:gridCol w:w="18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7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457"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通过举报奖励的兑现，鼓励广大人民群众对安全生产工作参与积极性，加大对安全生产违法行为的打击力度，保障全市安全全生产形势持续稳定。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7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12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81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65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98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188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2"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全年受理核实举报案件数量</w:t>
            </w:r>
          </w:p>
        </w:tc>
        <w:tc>
          <w:tcPr>
            <w:tcW w:w="36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全年受理核实举报案件数量</w:t>
            </w:r>
          </w:p>
        </w:tc>
        <w:tc>
          <w:tcPr>
            <w:tcW w:w="198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≥10起</w:t>
            </w:r>
          </w:p>
        </w:tc>
        <w:tc>
          <w:tcPr>
            <w:tcW w:w="188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2" w:type="dxa"/>
            <w:vMerge w:val="continue"/>
            <w:shd w:val="clear" w:color="auto" w:fill="auto"/>
            <w:vAlign w:val="center"/>
          </w:tcPr>
          <w:p>
            <w:pPr>
              <w:rPr>
                <w:rFonts w:hint="eastAsia" w:ascii="仿宋_GB2312" w:hAnsi="仿宋_GB2312" w:eastAsia="仿宋_GB2312" w:cs="仿宋_GB2312"/>
              </w:rPr>
            </w:pP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举报案件调查处理率</w:t>
            </w:r>
          </w:p>
        </w:tc>
        <w:tc>
          <w:tcPr>
            <w:tcW w:w="36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举报案件调查处理率</w:t>
            </w:r>
          </w:p>
        </w:tc>
        <w:tc>
          <w:tcPr>
            <w:tcW w:w="198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188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2" w:type="dxa"/>
            <w:vMerge w:val="continue"/>
            <w:shd w:val="clear" w:color="auto" w:fill="auto"/>
            <w:vAlign w:val="center"/>
          </w:tcPr>
          <w:p>
            <w:pPr>
              <w:rPr>
                <w:rFonts w:hint="eastAsia" w:ascii="仿宋_GB2312" w:hAnsi="仿宋_GB2312" w:eastAsia="仿宋_GB2312" w:cs="仿宋_GB2312"/>
              </w:rPr>
            </w:pP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按时核查率</w:t>
            </w:r>
          </w:p>
        </w:tc>
        <w:tc>
          <w:tcPr>
            <w:tcW w:w="36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在规定时限内完成核查　</w:t>
            </w:r>
          </w:p>
        </w:tc>
        <w:tc>
          <w:tcPr>
            <w:tcW w:w="198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188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2" w:type="dxa"/>
            <w:vMerge w:val="continue"/>
            <w:shd w:val="clear" w:color="auto" w:fill="auto"/>
            <w:vAlign w:val="center"/>
          </w:tcPr>
          <w:p>
            <w:pPr>
              <w:rPr>
                <w:rFonts w:hint="eastAsia" w:ascii="仿宋_GB2312" w:hAnsi="仿宋_GB2312" w:eastAsia="仿宋_GB2312" w:cs="仿宋_GB2312"/>
              </w:rPr>
            </w:pP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成本控制</w:t>
            </w:r>
          </w:p>
        </w:tc>
        <w:tc>
          <w:tcPr>
            <w:tcW w:w="36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不超过当年预算</w:t>
            </w:r>
          </w:p>
        </w:tc>
        <w:tc>
          <w:tcPr>
            <w:tcW w:w="198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≤5万元</w:t>
            </w:r>
          </w:p>
        </w:tc>
        <w:tc>
          <w:tcPr>
            <w:tcW w:w="188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《预算法》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提升事故防范能力</w:t>
            </w:r>
          </w:p>
        </w:tc>
        <w:tc>
          <w:tcPr>
            <w:tcW w:w="36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提升事故防范能力</w:t>
            </w:r>
          </w:p>
        </w:tc>
        <w:tc>
          <w:tcPr>
            <w:tcW w:w="198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提升事故防范能力</w:t>
            </w:r>
          </w:p>
        </w:tc>
        <w:tc>
          <w:tcPr>
            <w:tcW w:w="188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7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举报人员满意度</w:t>
            </w:r>
          </w:p>
        </w:tc>
        <w:tc>
          <w:tcPr>
            <w:tcW w:w="36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举报人员对举报事办理结果的满意率</w:t>
            </w:r>
          </w:p>
        </w:tc>
        <w:tc>
          <w:tcPr>
            <w:tcW w:w="1987"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≥90%</w:t>
            </w:r>
          </w:p>
        </w:tc>
        <w:tc>
          <w:tcPr>
            <w:tcW w:w="188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br w:type="page"/>
      </w:r>
    </w:p>
    <w:p>
      <w:pPr>
        <w:topLinePunct/>
        <w:adjustRightInd w:val="0"/>
        <w:snapToGrid w:val="0"/>
        <w:spacing w:line="58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10.应急管理信息平台运行维护经费绩效目标表</w:t>
      </w:r>
    </w:p>
    <w:p>
      <w:pPr>
        <w:spacing w:line="14" w:lineRule="exact"/>
        <w:ind w:firstLine="420" w:firstLineChars="200"/>
        <w:jc w:val="center"/>
        <w:rPr>
          <w:rFonts w:ascii="Times New Roman" w:hAnsi="Times New Roman" w:eastAsia="仿宋_GB2312" w:cs="Times New Roman"/>
        </w:rPr>
      </w:pPr>
    </w:p>
    <w:tbl>
      <w:tblPr>
        <w:tblStyle w:val="8"/>
        <w:tblW w:w="14266" w:type="dxa"/>
        <w:jc w:val="center"/>
        <w:tblInd w:w="-7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1"/>
        <w:gridCol w:w="2125"/>
        <w:gridCol w:w="2813"/>
        <w:gridCol w:w="3662"/>
        <w:gridCol w:w="1975"/>
        <w:gridCol w:w="1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9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475"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通过对设备及系统的有效保障，努力实现各类系统全年无故障运行时间达到300天以上；各类系统故障恢复时间达到48小时以内。关键系统恢复时间达到2小时以内。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9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12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81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66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97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190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91"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运行时间　</w:t>
            </w:r>
          </w:p>
        </w:tc>
        <w:tc>
          <w:tcPr>
            <w:tcW w:w="366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全年系统无故障运行时间</w:t>
            </w:r>
          </w:p>
        </w:tc>
        <w:tc>
          <w:tcPr>
            <w:tcW w:w="197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≥300天</w:t>
            </w:r>
          </w:p>
        </w:tc>
        <w:tc>
          <w:tcPr>
            <w:tcW w:w="190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91" w:type="dxa"/>
            <w:vMerge w:val="continue"/>
            <w:shd w:val="clear" w:color="auto" w:fill="auto"/>
            <w:vAlign w:val="center"/>
          </w:tcPr>
          <w:p>
            <w:pPr>
              <w:rPr>
                <w:rFonts w:hint="eastAsia" w:ascii="仿宋_GB2312" w:hAnsi="仿宋_GB2312" w:eastAsia="仿宋_GB2312" w:cs="仿宋_GB2312"/>
              </w:rPr>
            </w:pP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工作任务完成情况</w:t>
            </w:r>
          </w:p>
        </w:tc>
        <w:tc>
          <w:tcPr>
            <w:tcW w:w="366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完成率</w:t>
            </w:r>
          </w:p>
        </w:tc>
        <w:tc>
          <w:tcPr>
            <w:tcW w:w="197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190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既定目标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91" w:type="dxa"/>
            <w:vMerge w:val="continue"/>
            <w:shd w:val="clear" w:color="auto" w:fill="auto"/>
            <w:vAlign w:val="center"/>
          </w:tcPr>
          <w:p>
            <w:pPr>
              <w:rPr>
                <w:rFonts w:hint="eastAsia" w:ascii="仿宋_GB2312" w:hAnsi="仿宋_GB2312" w:eastAsia="仿宋_GB2312" w:cs="仿宋_GB2312"/>
              </w:rPr>
            </w:pP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故障恢复时间</w:t>
            </w:r>
          </w:p>
        </w:tc>
        <w:tc>
          <w:tcPr>
            <w:tcW w:w="366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系统故障恢复时间</w:t>
            </w:r>
          </w:p>
        </w:tc>
        <w:tc>
          <w:tcPr>
            <w:tcW w:w="197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&lt;48小时</w:t>
            </w:r>
          </w:p>
        </w:tc>
        <w:tc>
          <w:tcPr>
            <w:tcW w:w="190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91" w:type="dxa"/>
            <w:vMerge w:val="continue"/>
            <w:shd w:val="clear" w:color="auto" w:fill="auto"/>
            <w:vAlign w:val="center"/>
          </w:tcPr>
          <w:p>
            <w:pPr>
              <w:rPr>
                <w:rFonts w:hint="eastAsia" w:ascii="仿宋_GB2312" w:hAnsi="仿宋_GB2312" w:eastAsia="仿宋_GB2312" w:cs="仿宋_GB2312"/>
              </w:rPr>
            </w:pP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不超过当年预算</w:t>
            </w:r>
          </w:p>
        </w:tc>
        <w:tc>
          <w:tcPr>
            <w:tcW w:w="366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不超过当年预算</w:t>
            </w:r>
          </w:p>
        </w:tc>
        <w:tc>
          <w:tcPr>
            <w:tcW w:w="197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≤49.3万元</w:t>
            </w:r>
          </w:p>
        </w:tc>
        <w:tc>
          <w:tcPr>
            <w:tcW w:w="190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《预算法》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9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系统保障工作</w:t>
            </w:r>
          </w:p>
        </w:tc>
        <w:tc>
          <w:tcPr>
            <w:tcW w:w="366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各系统正常运行</w:t>
            </w:r>
          </w:p>
        </w:tc>
        <w:tc>
          <w:tcPr>
            <w:tcW w:w="197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各系统正常运行</w:t>
            </w:r>
          </w:p>
        </w:tc>
        <w:tc>
          <w:tcPr>
            <w:tcW w:w="190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9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系统稳定性满意度　</w:t>
            </w:r>
          </w:p>
        </w:tc>
        <w:tc>
          <w:tcPr>
            <w:tcW w:w="366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系统使用人员满意率　</w:t>
            </w:r>
          </w:p>
        </w:tc>
        <w:tc>
          <w:tcPr>
            <w:tcW w:w="197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190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br w:type="page"/>
      </w:r>
    </w:p>
    <w:p>
      <w:pPr>
        <w:topLinePunct/>
        <w:adjustRightInd w:val="0"/>
        <w:snapToGrid w:val="0"/>
        <w:spacing w:line="58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11.市级自然灾害救助专项资金绩效目标表</w:t>
      </w:r>
    </w:p>
    <w:p>
      <w:pPr>
        <w:spacing w:line="14" w:lineRule="exact"/>
        <w:ind w:firstLine="420" w:firstLineChars="200"/>
        <w:jc w:val="center"/>
        <w:rPr>
          <w:rFonts w:ascii="Times New Roman" w:hAnsi="Times New Roman" w:eastAsia="仿宋_GB2312" w:cs="Times New Roman"/>
        </w:rPr>
      </w:pPr>
    </w:p>
    <w:tbl>
      <w:tblPr>
        <w:tblStyle w:val="8"/>
        <w:tblW w:w="14272" w:type="dxa"/>
        <w:jc w:val="center"/>
        <w:tblInd w:w="-7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4"/>
        <w:gridCol w:w="2125"/>
        <w:gridCol w:w="2813"/>
        <w:gridCol w:w="3650"/>
        <w:gridCol w:w="1962"/>
        <w:gridCol w:w="19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9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478"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确保受灾群众衣、食、住、饮、医基本生活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79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12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81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65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96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192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94"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救助人数</w:t>
            </w:r>
          </w:p>
        </w:tc>
        <w:tc>
          <w:tcPr>
            <w:tcW w:w="36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救助受灾人数</w:t>
            </w:r>
          </w:p>
        </w:tc>
        <w:tc>
          <w:tcPr>
            <w:tcW w:w="196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≥1.5万人</w:t>
            </w:r>
          </w:p>
        </w:tc>
        <w:tc>
          <w:tcPr>
            <w:tcW w:w="192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《河北省自然灾害生活救助资金管理办法》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94" w:type="dxa"/>
            <w:vMerge w:val="continue"/>
            <w:shd w:val="clear" w:color="auto" w:fill="auto"/>
            <w:vAlign w:val="center"/>
          </w:tcPr>
          <w:p>
            <w:pPr>
              <w:rPr>
                <w:rFonts w:hint="eastAsia" w:ascii="仿宋_GB2312" w:hAnsi="仿宋_GB2312" w:eastAsia="仿宋_GB2312" w:cs="仿宋_GB2312"/>
              </w:rPr>
            </w:pP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救助资金按标准发放率</w:t>
            </w:r>
          </w:p>
        </w:tc>
        <w:tc>
          <w:tcPr>
            <w:tcW w:w="36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按照国家标准求助</w:t>
            </w:r>
          </w:p>
        </w:tc>
        <w:tc>
          <w:tcPr>
            <w:tcW w:w="196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192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《河北省自然灾害生活救助资金管理办法》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94" w:type="dxa"/>
            <w:vMerge w:val="continue"/>
            <w:shd w:val="clear" w:color="auto" w:fill="auto"/>
            <w:vAlign w:val="center"/>
          </w:tcPr>
          <w:p>
            <w:pPr>
              <w:rPr>
                <w:rFonts w:hint="eastAsia" w:ascii="仿宋_GB2312" w:hAnsi="仿宋_GB2312" w:eastAsia="仿宋_GB2312" w:cs="仿宋_GB2312"/>
              </w:rPr>
            </w:pP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按时发放率</w:t>
            </w:r>
          </w:p>
        </w:tc>
        <w:tc>
          <w:tcPr>
            <w:tcW w:w="36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在规定时限内完成救灾资金发放</w:t>
            </w:r>
          </w:p>
        </w:tc>
        <w:tc>
          <w:tcPr>
            <w:tcW w:w="196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192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《河北省自然灾害生活救助资金管理办法》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94" w:type="dxa"/>
            <w:vMerge w:val="continue"/>
            <w:shd w:val="clear" w:color="auto" w:fill="auto"/>
            <w:vAlign w:val="center"/>
          </w:tcPr>
          <w:p>
            <w:pPr>
              <w:rPr>
                <w:rFonts w:hint="eastAsia" w:ascii="仿宋_GB2312" w:hAnsi="仿宋_GB2312" w:eastAsia="仿宋_GB2312" w:cs="仿宋_GB2312"/>
              </w:rPr>
            </w:pP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测算标准</w:t>
            </w:r>
          </w:p>
        </w:tc>
        <w:tc>
          <w:tcPr>
            <w:tcW w:w="36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按照省、市、县救助资金配套比例4：3：3计算</w:t>
            </w:r>
          </w:p>
        </w:tc>
        <w:tc>
          <w:tcPr>
            <w:tcW w:w="196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≤54万元</w:t>
            </w:r>
          </w:p>
        </w:tc>
        <w:tc>
          <w:tcPr>
            <w:tcW w:w="192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《预算法》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9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灾区稳定</w:t>
            </w:r>
          </w:p>
        </w:tc>
        <w:tc>
          <w:tcPr>
            <w:tcW w:w="36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灾区稳定</w:t>
            </w:r>
          </w:p>
        </w:tc>
        <w:tc>
          <w:tcPr>
            <w:tcW w:w="196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灾区稳定</w:t>
            </w:r>
          </w:p>
        </w:tc>
        <w:tc>
          <w:tcPr>
            <w:tcW w:w="192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《河北省自然灾害生活救助资金管理办法》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79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81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群众满意</w:t>
            </w:r>
          </w:p>
        </w:tc>
        <w:tc>
          <w:tcPr>
            <w:tcW w:w="3650"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受灾群众满意度</w:t>
            </w:r>
          </w:p>
        </w:tc>
        <w:tc>
          <w:tcPr>
            <w:tcW w:w="196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192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topLinePunct/>
        <w:adjustRightInd w:val="0"/>
        <w:snapToGrid w:val="0"/>
        <w:spacing w:line="580" w:lineRule="exact"/>
        <w:ind w:firstLine="640" w:firstLineChars="200"/>
        <w:jc w:val="left"/>
        <w:rPr>
          <w:rFonts w:ascii="仿宋_GB2312" w:hAnsi="仿宋_GB2312" w:eastAsia="仿宋_GB2312" w:cs="仿宋_GB2312"/>
          <w:kern w:val="0"/>
          <w:sz w:val="32"/>
          <w:szCs w:val="32"/>
        </w:rPr>
      </w:pPr>
      <w:bookmarkStart w:id="1" w:name="_Toc471398468"/>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21</w:t>
      </w:r>
      <w:r>
        <w:rPr>
          <w:rFonts w:ascii="仿宋_GB2312" w:hAnsi="仿宋_GB2312" w:eastAsia="仿宋_GB2312" w:cs="仿宋_GB2312"/>
          <w:kern w:val="0"/>
          <w:sz w:val="32"/>
          <w:szCs w:val="32"/>
        </w:rPr>
        <w:t>年，我部门安排政府采购预算</w:t>
      </w:r>
      <w:r>
        <w:rPr>
          <w:rFonts w:hint="eastAsia" w:ascii="仿宋_GB2312" w:hAnsi="仿宋_GB2312" w:eastAsia="仿宋_GB2312" w:cs="仿宋_GB2312"/>
          <w:kern w:val="0"/>
          <w:sz w:val="32"/>
          <w:szCs w:val="32"/>
        </w:rPr>
        <w:t>40</w:t>
      </w:r>
      <w:r>
        <w:rPr>
          <w:rFonts w:ascii="仿宋_GB2312" w:hAnsi="仿宋_GB2312" w:eastAsia="仿宋_GB2312" w:cs="仿宋_GB2312"/>
          <w:kern w:val="0"/>
          <w:sz w:val="32"/>
          <w:szCs w:val="32"/>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楷体" w:hAnsi="楷体" w:eastAsia="楷体" w:cs="Times New Roman"/>
          <w:b/>
          <w:sz w:val="32"/>
        </w:rPr>
      </w:pPr>
      <w:bookmarkStart w:id="2" w:name="_Toc64920910"/>
      <w:r>
        <w:rPr>
          <w:rFonts w:hint="eastAsia" w:ascii="楷体" w:hAnsi="楷体" w:eastAsia="楷体" w:cs="Times New Roman"/>
          <w:b/>
          <w:sz w:val="32"/>
        </w:rPr>
        <w:t>部门政府采购预算</w:t>
      </w:r>
      <w:bookmarkEnd w:id="2"/>
    </w:p>
    <w:tbl>
      <w:tblPr>
        <w:tblStyle w:val="8"/>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rPr>
              <w:t>721</w:t>
            </w:r>
            <w:r>
              <w:rPr>
                <w:rFonts w:ascii="方正小标宋_GBK" w:eastAsia="方正小标宋_GBK" w:cs="Times New Roman"/>
                <w:sz w:val="24"/>
              </w:rPr>
              <w:t>廊坊市</w:t>
            </w:r>
            <w:r>
              <w:rPr>
                <w:rFonts w:hint="eastAsia" w:ascii="方正小标宋_GBK" w:eastAsia="方正小标宋_GBK" w:cs="Times New Roman"/>
                <w:sz w:val="24"/>
              </w:rPr>
              <w:t>应急管理局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rPr>
              <w:t>合</w:t>
            </w:r>
            <w:r>
              <w:rPr>
                <w:rFonts w:hint="eastAsia" w:ascii="仿宋_GB2312" w:hAnsi="仿宋_GB2312" w:eastAsia="仿宋_GB2312" w:cs="仿宋_GB2312"/>
                <w:b w:val="0"/>
                <w:bCs/>
                <w:lang w:val="en-US" w:eastAsia="zh-CN"/>
              </w:rPr>
              <w:t xml:space="preserve">  </w:t>
            </w:r>
            <w:r>
              <w:rPr>
                <w:rFonts w:hint="eastAsia" w:ascii="仿宋_GB2312" w:hAnsi="仿宋_GB2312" w:eastAsia="仿宋_GB2312" w:cs="仿宋_GB2312"/>
                <w:b w:val="0"/>
                <w:bCs/>
              </w:rPr>
              <w:t>计</w:t>
            </w:r>
          </w:p>
        </w:tc>
        <w:tc>
          <w:tcPr>
            <w:tcW w:w="1134" w:type="dxa"/>
            <w:shd w:val="clear" w:color="auto" w:fill="auto"/>
            <w:vAlign w:val="center"/>
          </w:tcPr>
          <w:p>
            <w:pPr>
              <w:spacing w:line="300" w:lineRule="exact"/>
              <w:jc w:val="center"/>
              <w:rPr>
                <w:rFonts w:hint="eastAsia" w:ascii="仿宋_GB2312" w:hAnsi="仿宋_GB2312" w:eastAsia="仿宋_GB2312" w:cs="仿宋_GB2312"/>
                <w:b w:val="0"/>
                <w:bCs/>
                <w:color w:val="C00000"/>
                <w:szCs w:val="21"/>
              </w:rPr>
            </w:pPr>
          </w:p>
        </w:tc>
        <w:tc>
          <w:tcPr>
            <w:tcW w:w="1531" w:type="dxa"/>
            <w:shd w:val="clear" w:color="auto" w:fill="auto"/>
            <w:vAlign w:val="center"/>
          </w:tcPr>
          <w:p>
            <w:pPr>
              <w:spacing w:line="300" w:lineRule="exact"/>
              <w:jc w:val="left"/>
              <w:rPr>
                <w:rFonts w:hint="eastAsia" w:ascii="仿宋_GB2312" w:hAnsi="仿宋_GB2312" w:eastAsia="仿宋_GB2312" w:cs="仿宋_GB2312"/>
                <w:b w:val="0"/>
                <w:bCs/>
                <w:szCs w:val="21"/>
              </w:rPr>
            </w:pPr>
          </w:p>
        </w:tc>
        <w:tc>
          <w:tcPr>
            <w:tcW w:w="1531" w:type="dxa"/>
            <w:shd w:val="clear" w:color="auto" w:fill="auto"/>
            <w:vAlign w:val="center"/>
          </w:tcPr>
          <w:p>
            <w:pPr>
              <w:spacing w:line="300" w:lineRule="exact"/>
              <w:jc w:val="left"/>
              <w:rPr>
                <w:rFonts w:hint="eastAsia" w:ascii="仿宋_GB2312" w:hAnsi="仿宋_GB2312" w:eastAsia="仿宋_GB2312" w:cs="仿宋_GB2312"/>
                <w:b w:val="0"/>
                <w:bCs/>
                <w:szCs w:val="21"/>
              </w:rPr>
            </w:pPr>
          </w:p>
        </w:tc>
        <w:tc>
          <w:tcPr>
            <w:tcW w:w="709" w:type="dxa"/>
            <w:shd w:val="clear" w:color="auto" w:fill="auto"/>
            <w:vAlign w:val="center"/>
          </w:tcPr>
          <w:p>
            <w:pPr>
              <w:spacing w:line="300" w:lineRule="exact"/>
              <w:jc w:val="center"/>
              <w:rPr>
                <w:rFonts w:hint="eastAsia" w:ascii="仿宋_GB2312" w:hAnsi="仿宋_GB2312" w:eastAsia="仿宋_GB2312" w:cs="仿宋_GB2312"/>
                <w:b w:val="0"/>
                <w:bCs/>
                <w:szCs w:val="21"/>
              </w:rPr>
            </w:pPr>
          </w:p>
        </w:tc>
        <w:tc>
          <w:tcPr>
            <w:tcW w:w="907" w:type="dxa"/>
            <w:shd w:val="clear" w:color="auto" w:fill="auto"/>
            <w:vAlign w:val="center"/>
          </w:tcPr>
          <w:p>
            <w:pPr>
              <w:spacing w:line="300" w:lineRule="exact"/>
              <w:jc w:val="right"/>
              <w:rPr>
                <w:rFonts w:hint="eastAsia" w:ascii="仿宋_GB2312" w:hAnsi="仿宋_GB2312" w:eastAsia="仿宋_GB2312" w:cs="仿宋_GB2312"/>
                <w:b w:val="0"/>
                <w:bCs/>
                <w:szCs w:val="21"/>
              </w:rPr>
            </w:pPr>
          </w:p>
        </w:tc>
        <w:tc>
          <w:tcPr>
            <w:tcW w:w="907" w:type="dxa"/>
            <w:shd w:val="clear" w:color="auto" w:fill="auto"/>
            <w:vAlign w:val="center"/>
          </w:tcPr>
          <w:p>
            <w:pPr>
              <w:spacing w:line="300" w:lineRule="exact"/>
              <w:jc w:val="center"/>
              <w:rPr>
                <w:rFonts w:hint="eastAsia" w:ascii="仿宋_GB2312" w:hAnsi="仿宋_GB2312" w:eastAsia="仿宋_GB2312" w:cs="仿宋_GB2312"/>
                <w:b w:val="0"/>
                <w:bCs/>
                <w:szCs w:val="21"/>
              </w:rPr>
            </w:pPr>
          </w:p>
        </w:tc>
        <w:tc>
          <w:tcPr>
            <w:tcW w:w="1134" w:type="dxa"/>
            <w:shd w:val="clear" w:color="auto" w:fill="auto"/>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40</w:t>
            </w:r>
          </w:p>
        </w:tc>
        <w:tc>
          <w:tcPr>
            <w:tcW w:w="1134" w:type="dxa"/>
            <w:shd w:val="clear" w:color="auto" w:fill="auto"/>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40</w:t>
            </w:r>
          </w:p>
        </w:tc>
        <w:tc>
          <w:tcPr>
            <w:tcW w:w="1134" w:type="dxa"/>
            <w:shd w:val="clear" w:color="auto" w:fill="auto"/>
            <w:vAlign w:val="center"/>
          </w:tcPr>
          <w:p>
            <w:pPr>
              <w:spacing w:line="300" w:lineRule="exact"/>
              <w:jc w:val="right"/>
              <w:rPr>
                <w:rFonts w:hint="eastAsia" w:ascii="仿宋_GB2312" w:hAnsi="仿宋_GB2312" w:eastAsia="仿宋_GB2312" w:cs="仿宋_GB2312"/>
                <w:b w:val="0"/>
                <w:bCs/>
                <w:szCs w:val="21"/>
              </w:rPr>
            </w:pPr>
          </w:p>
        </w:tc>
        <w:tc>
          <w:tcPr>
            <w:tcW w:w="1134" w:type="dxa"/>
            <w:shd w:val="clear" w:color="auto" w:fill="auto"/>
            <w:vAlign w:val="center"/>
          </w:tcPr>
          <w:p>
            <w:pPr>
              <w:spacing w:line="300" w:lineRule="exact"/>
              <w:jc w:val="right"/>
              <w:rPr>
                <w:rFonts w:hint="eastAsia" w:ascii="仿宋_GB2312" w:hAnsi="仿宋_GB2312" w:eastAsia="仿宋_GB2312" w:cs="仿宋_GB2312"/>
                <w:b w:val="0"/>
                <w:bCs/>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廊坊市应急管理局本级小计</w:t>
            </w:r>
          </w:p>
        </w:tc>
        <w:tc>
          <w:tcPr>
            <w:tcW w:w="1134" w:type="dxa"/>
            <w:shd w:val="clear" w:color="auto" w:fill="auto"/>
            <w:vAlign w:val="center"/>
          </w:tcPr>
          <w:p>
            <w:pPr>
              <w:spacing w:line="300" w:lineRule="exact"/>
              <w:jc w:val="center"/>
              <w:rPr>
                <w:rFonts w:hint="eastAsia" w:ascii="仿宋_GB2312" w:hAnsi="仿宋_GB2312" w:eastAsia="仿宋_GB2312" w:cs="仿宋_GB2312"/>
                <w:b w:val="0"/>
                <w:bCs/>
                <w:color w:val="C00000"/>
                <w:szCs w:val="21"/>
              </w:rPr>
            </w:pPr>
          </w:p>
        </w:tc>
        <w:tc>
          <w:tcPr>
            <w:tcW w:w="1531" w:type="dxa"/>
            <w:shd w:val="clear" w:color="auto" w:fill="auto"/>
            <w:vAlign w:val="center"/>
          </w:tcPr>
          <w:p>
            <w:pPr>
              <w:spacing w:line="300" w:lineRule="exact"/>
              <w:jc w:val="left"/>
              <w:rPr>
                <w:rFonts w:hint="eastAsia" w:ascii="仿宋_GB2312" w:hAnsi="仿宋_GB2312" w:eastAsia="仿宋_GB2312" w:cs="仿宋_GB2312"/>
                <w:b w:val="0"/>
                <w:bCs/>
                <w:szCs w:val="21"/>
              </w:rPr>
            </w:pPr>
          </w:p>
        </w:tc>
        <w:tc>
          <w:tcPr>
            <w:tcW w:w="1531" w:type="dxa"/>
            <w:shd w:val="clear" w:color="auto" w:fill="auto"/>
            <w:vAlign w:val="center"/>
          </w:tcPr>
          <w:p>
            <w:pPr>
              <w:spacing w:line="300" w:lineRule="exact"/>
              <w:jc w:val="left"/>
              <w:rPr>
                <w:rFonts w:hint="eastAsia" w:ascii="仿宋_GB2312" w:hAnsi="仿宋_GB2312" w:eastAsia="仿宋_GB2312" w:cs="仿宋_GB2312"/>
                <w:b w:val="0"/>
                <w:bCs/>
                <w:szCs w:val="21"/>
              </w:rPr>
            </w:pPr>
          </w:p>
        </w:tc>
        <w:tc>
          <w:tcPr>
            <w:tcW w:w="709" w:type="dxa"/>
            <w:shd w:val="clear" w:color="auto" w:fill="auto"/>
            <w:vAlign w:val="center"/>
          </w:tcPr>
          <w:p>
            <w:pPr>
              <w:spacing w:line="300" w:lineRule="exact"/>
              <w:jc w:val="center"/>
              <w:rPr>
                <w:rFonts w:hint="eastAsia" w:ascii="仿宋_GB2312" w:hAnsi="仿宋_GB2312" w:eastAsia="仿宋_GB2312" w:cs="仿宋_GB2312"/>
                <w:b w:val="0"/>
                <w:bCs/>
                <w:szCs w:val="21"/>
              </w:rPr>
            </w:pPr>
          </w:p>
        </w:tc>
        <w:tc>
          <w:tcPr>
            <w:tcW w:w="907" w:type="dxa"/>
            <w:shd w:val="clear" w:color="auto" w:fill="auto"/>
            <w:vAlign w:val="center"/>
          </w:tcPr>
          <w:p>
            <w:pPr>
              <w:spacing w:line="300" w:lineRule="exact"/>
              <w:jc w:val="right"/>
              <w:rPr>
                <w:rFonts w:hint="eastAsia" w:ascii="仿宋_GB2312" w:hAnsi="仿宋_GB2312" w:eastAsia="仿宋_GB2312" w:cs="仿宋_GB2312"/>
                <w:b w:val="0"/>
                <w:bCs/>
                <w:szCs w:val="21"/>
              </w:rPr>
            </w:pPr>
          </w:p>
        </w:tc>
        <w:tc>
          <w:tcPr>
            <w:tcW w:w="907" w:type="dxa"/>
            <w:shd w:val="clear" w:color="auto" w:fill="auto"/>
            <w:vAlign w:val="center"/>
          </w:tcPr>
          <w:p>
            <w:pPr>
              <w:spacing w:line="300" w:lineRule="exact"/>
              <w:jc w:val="center"/>
              <w:rPr>
                <w:rFonts w:hint="eastAsia" w:ascii="仿宋_GB2312" w:hAnsi="仿宋_GB2312" w:eastAsia="仿宋_GB2312" w:cs="仿宋_GB2312"/>
                <w:b w:val="0"/>
                <w:bCs/>
                <w:szCs w:val="21"/>
              </w:rPr>
            </w:pPr>
          </w:p>
        </w:tc>
        <w:tc>
          <w:tcPr>
            <w:tcW w:w="1134" w:type="dxa"/>
            <w:shd w:val="clear" w:color="auto" w:fill="auto"/>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40</w:t>
            </w:r>
          </w:p>
        </w:tc>
        <w:tc>
          <w:tcPr>
            <w:tcW w:w="1134" w:type="dxa"/>
            <w:shd w:val="clear" w:color="auto" w:fill="auto"/>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40</w:t>
            </w:r>
          </w:p>
        </w:tc>
        <w:tc>
          <w:tcPr>
            <w:tcW w:w="1134" w:type="dxa"/>
            <w:shd w:val="clear" w:color="auto" w:fill="auto"/>
            <w:vAlign w:val="center"/>
          </w:tcPr>
          <w:p>
            <w:pPr>
              <w:spacing w:line="300" w:lineRule="exact"/>
              <w:jc w:val="right"/>
              <w:rPr>
                <w:rFonts w:hint="eastAsia" w:ascii="仿宋_GB2312" w:hAnsi="仿宋_GB2312" w:eastAsia="仿宋_GB2312" w:cs="仿宋_GB2312"/>
                <w:b w:val="0"/>
                <w:bCs/>
                <w:szCs w:val="21"/>
              </w:rPr>
            </w:pPr>
          </w:p>
        </w:tc>
        <w:tc>
          <w:tcPr>
            <w:tcW w:w="1134" w:type="dxa"/>
            <w:shd w:val="clear" w:color="auto" w:fill="auto"/>
            <w:vAlign w:val="center"/>
          </w:tcPr>
          <w:p>
            <w:pPr>
              <w:spacing w:line="300" w:lineRule="exact"/>
              <w:jc w:val="right"/>
              <w:rPr>
                <w:rFonts w:hint="eastAsia" w:ascii="仿宋_GB2312" w:hAnsi="仿宋_GB2312" w:eastAsia="仿宋_GB2312" w:cs="仿宋_GB2312"/>
                <w:b w:val="0"/>
                <w:bCs/>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szCs w:val="21"/>
              </w:rPr>
            </w:pPr>
            <w:r>
              <w:rPr>
                <w:rFonts w:hint="eastAsia" w:ascii="仿宋_GB2312" w:hAnsi="仿宋_GB2312" w:eastAsia="仿宋_GB2312" w:cs="仿宋_GB2312"/>
                <w:szCs w:val="21"/>
              </w:rPr>
              <w:t>应急管理信息平台设备购置专项资金</w:t>
            </w:r>
          </w:p>
        </w:tc>
        <w:tc>
          <w:tcPr>
            <w:tcW w:w="1134" w:type="dxa"/>
            <w:shd w:val="clear" w:color="auto" w:fill="auto"/>
            <w:vAlign w:val="center"/>
          </w:tcPr>
          <w:p>
            <w:pPr>
              <w:spacing w:line="300" w:lineRule="exact"/>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40</w:t>
            </w:r>
          </w:p>
        </w:tc>
        <w:tc>
          <w:tcPr>
            <w:tcW w:w="1531" w:type="dxa"/>
            <w:shd w:val="clear" w:color="auto" w:fill="auto"/>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服务器</w:t>
            </w:r>
          </w:p>
        </w:tc>
        <w:tc>
          <w:tcPr>
            <w:tcW w:w="1531" w:type="dxa"/>
            <w:shd w:val="clear" w:color="auto" w:fill="auto"/>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A02010103</w:t>
            </w:r>
          </w:p>
        </w:tc>
        <w:tc>
          <w:tcPr>
            <w:tcW w:w="7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907"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07"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34" w:type="dxa"/>
            <w:shd w:val="clear" w:color="auto" w:fill="auto"/>
            <w:vAlign w:val="center"/>
          </w:tcPr>
          <w:p>
            <w:pPr>
              <w:spacing w:line="300" w:lineRule="exact"/>
              <w:jc w:val="right"/>
              <w:rPr>
                <w:rFonts w:ascii="方正书宋_GBK" w:eastAsia="方正书宋_GBK" w:cs="Times New Roman"/>
                <w:szCs w:val="21"/>
              </w:rPr>
            </w:pPr>
          </w:p>
        </w:tc>
        <w:tc>
          <w:tcPr>
            <w:tcW w:w="1134" w:type="dxa"/>
            <w:shd w:val="clear" w:color="auto" w:fill="auto"/>
            <w:vAlign w:val="center"/>
          </w:tcPr>
          <w:p>
            <w:pPr>
              <w:spacing w:line="300" w:lineRule="exact"/>
              <w:jc w:val="right"/>
              <w:rPr>
                <w:rFonts w:ascii="方正书宋_GBK" w:eastAsia="方正书宋_GBK" w:cs="Times New Roman"/>
                <w:szCs w:val="21"/>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szCs w:val="21"/>
              </w:rPr>
            </w:pPr>
            <w:r>
              <w:rPr>
                <w:rFonts w:hint="eastAsia" w:ascii="仿宋_GB2312" w:hAnsi="仿宋_GB2312" w:eastAsia="仿宋_GB2312" w:cs="仿宋_GB2312"/>
                <w:szCs w:val="21"/>
              </w:rPr>
              <w:t>应急管理信息平台设备购置专项资金</w:t>
            </w:r>
          </w:p>
        </w:tc>
        <w:tc>
          <w:tcPr>
            <w:tcW w:w="1134" w:type="dxa"/>
            <w:shd w:val="clear" w:color="auto" w:fill="auto"/>
            <w:vAlign w:val="center"/>
          </w:tcPr>
          <w:p>
            <w:pPr>
              <w:spacing w:line="300" w:lineRule="exact"/>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40</w:t>
            </w:r>
          </w:p>
        </w:tc>
        <w:tc>
          <w:tcPr>
            <w:tcW w:w="1531" w:type="dxa"/>
            <w:shd w:val="clear" w:color="auto" w:fill="auto"/>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行业应用软件开发服务</w:t>
            </w:r>
          </w:p>
        </w:tc>
        <w:tc>
          <w:tcPr>
            <w:tcW w:w="1531" w:type="dxa"/>
            <w:shd w:val="clear" w:color="auto" w:fill="auto"/>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C02010302</w:t>
            </w:r>
          </w:p>
        </w:tc>
        <w:tc>
          <w:tcPr>
            <w:tcW w:w="709"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907"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07"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35</w:t>
            </w: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35</w:t>
            </w: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35</w:t>
            </w:r>
          </w:p>
        </w:tc>
        <w:tc>
          <w:tcPr>
            <w:tcW w:w="1134" w:type="dxa"/>
            <w:shd w:val="clear" w:color="auto" w:fill="auto"/>
            <w:vAlign w:val="center"/>
          </w:tcPr>
          <w:p>
            <w:pPr>
              <w:spacing w:line="300" w:lineRule="exact"/>
              <w:jc w:val="right"/>
              <w:rPr>
                <w:rFonts w:ascii="方正书宋_GBK" w:eastAsia="方正书宋_GBK" w:cs="Times New Roman"/>
                <w:szCs w:val="21"/>
              </w:rPr>
            </w:pPr>
          </w:p>
        </w:tc>
        <w:tc>
          <w:tcPr>
            <w:tcW w:w="1134" w:type="dxa"/>
            <w:shd w:val="clear" w:color="auto" w:fill="auto"/>
            <w:vAlign w:val="center"/>
          </w:tcPr>
          <w:p>
            <w:pPr>
              <w:spacing w:line="300" w:lineRule="exact"/>
              <w:jc w:val="right"/>
              <w:rPr>
                <w:rFonts w:ascii="方正书宋_GBK" w:eastAsia="方正书宋_GBK" w:cs="Times New Roman"/>
                <w:szCs w:val="21"/>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廊坊市应急管理局上年末固定资产金额为1531.51万元（详见下表），本年度我部门拟购置固定资产总额为5万元，主要为购置项目</w:t>
      </w:r>
      <w:r>
        <w:rPr>
          <w:rFonts w:hint="eastAsia" w:ascii="仿宋_GB2312" w:hAnsi="仿宋_GB2312" w:eastAsia="仿宋_GB2312" w:cs="仿宋_GB2312"/>
          <w:sz w:val="32"/>
          <w:szCs w:val="32"/>
        </w:rPr>
        <w:t>应急管理信息平台设备购置专项资金的服务器</w:t>
      </w:r>
      <w:r>
        <w:rPr>
          <w:rFonts w:hint="eastAsia" w:ascii="仿宋_GB2312" w:hAnsi="Times New Roman" w:eastAsia="仿宋_GB2312" w:cs="Times New Roman"/>
          <w:sz w:val="32"/>
          <w:szCs w:val="32"/>
        </w:rPr>
        <w:t>，已列入政府采购预算，详见政府采购预算表。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楷体" w:hAnsi="楷体" w:eastAsia="楷体" w:cs="Times New Roman"/>
                <w:b/>
                <w:bCs/>
                <w:kern w:val="0"/>
                <w:sz w:val="32"/>
                <w:szCs w:val="32"/>
              </w:rPr>
            </w:pPr>
            <w:r>
              <w:rPr>
                <w:rFonts w:ascii="楷体" w:hAnsi="楷体" w:eastAsia="楷体" w:cs="Times New Roman"/>
                <w:b/>
                <w:bCs/>
                <w:kern w:val="0"/>
                <w:sz w:val="32"/>
                <w:szCs w:val="32"/>
              </w:rPr>
              <w:t>廊坊市市直部门固定资产占用情况表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应急管理局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年12月31日</w:t>
            </w:r>
          </w:p>
        </w:tc>
      </w:tr>
      <w:tr>
        <w:tblPrEx>
          <w:tblLayout w:type="fixed"/>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szCs w:val="21"/>
              </w:rPr>
              <w:t>1531.51</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仿宋_GB2312" w:eastAsia="仿宋_GB2312" w:cs="仿宋_GB2312"/>
                <w:szCs w:val="21"/>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仿宋_GB2312" w:eastAsia="仿宋_GB2312" w:cs="仿宋_GB2312"/>
                <w:szCs w:val="21"/>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15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szCs w:val="21"/>
              </w:rPr>
              <w:t>283.28</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仿宋_GB2312" w:eastAsia="仿宋_GB2312" w:cs="仿宋_GB2312"/>
                <w:szCs w:val="21"/>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仿宋_GB2312" w:hAnsi="Times New Roman" w:eastAsia="仿宋_GB2312" w:cs="Times New Roman"/>
                <w:szCs w:val="21"/>
                <w:lang w:val="en-US" w:eastAsia="zh-CN"/>
              </w:rPr>
              <w:t>1652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szCs w:val="21"/>
              </w:rPr>
              <w:t>1248.23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1、一般公共预算拨款收入：</w:t>
      </w:r>
      <w:r>
        <w:rPr>
          <w:rFonts w:hint="eastAsia" w:ascii="仿宋_GB2312" w:hAnsi="Times New Roman" w:eastAsia="仿宋_GB2312" w:cs="Times New Roman"/>
          <w:sz w:val="32"/>
          <w:szCs w:val="32"/>
        </w:rPr>
        <w:t>指省级财政当年拨付的资金。</w:t>
      </w:r>
    </w:p>
    <w:p>
      <w:pPr>
        <w:tabs>
          <w:tab w:val="left" w:pos="11490"/>
        </w:tabs>
        <w:spacing w:line="584"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2、事业收入：</w:t>
      </w:r>
      <w:r>
        <w:rPr>
          <w:rFonts w:hint="eastAsia" w:ascii="仿宋_GB2312"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3、其他收入：</w:t>
      </w:r>
      <w:r>
        <w:rPr>
          <w:rFonts w:hint="eastAsia" w:ascii="仿宋_GB2312"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4、基本支出：</w:t>
      </w:r>
      <w:r>
        <w:rPr>
          <w:rFonts w:hint="eastAsia" w:ascii="仿宋_GB2312"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5、项目支出：</w:t>
      </w:r>
      <w:r>
        <w:rPr>
          <w:rFonts w:hint="eastAsia" w:ascii="仿宋_GB2312"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6、上缴上级支出：</w:t>
      </w:r>
      <w:r>
        <w:rPr>
          <w:rFonts w:hint="eastAsia" w:ascii="仿宋_GB2312" w:hAnsi="Times New Roman" w:eastAsia="仿宋_GB2312" w:cs="Times New Roman"/>
          <w:sz w:val="32"/>
          <w:szCs w:val="32"/>
        </w:rPr>
        <w:t>指下级单位上缴上级的支出。</w:t>
      </w:r>
    </w:p>
    <w:p>
      <w:pPr>
        <w:tabs>
          <w:tab w:val="left" w:pos="11490"/>
        </w:tabs>
        <w:spacing w:line="584"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7、“三公”经费：</w:t>
      </w:r>
      <w:r>
        <w:rPr>
          <w:rFonts w:hint="eastAsia" w:ascii="仿宋_GB2312"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8、机关运行费：</w:t>
      </w:r>
      <w:r>
        <w:rPr>
          <w:rFonts w:hint="eastAsia" w:ascii="仿宋_GB2312"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9、上年结转：</w:t>
      </w:r>
      <w:r>
        <w:rPr>
          <w:rFonts w:hint="eastAsia" w:ascii="仿宋_GB2312"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10、事业单位经营支出：</w:t>
      </w:r>
      <w:r>
        <w:rPr>
          <w:rFonts w:hint="eastAsia" w:ascii="仿宋_GB2312"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25</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9E10F"/>
    <w:multiLevelType w:val="singleLevel"/>
    <w:tmpl w:val="A209E10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61E68"/>
    <w:rsid w:val="001937A8"/>
    <w:rsid w:val="001F29D2"/>
    <w:rsid w:val="003B4DEC"/>
    <w:rsid w:val="004A54AA"/>
    <w:rsid w:val="004C254B"/>
    <w:rsid w:val="004E62F7"/>
    <w:rsid w:val="005A5E1E"/>
    <w:rsid w:val="0071411D"/>
    <w:rsid w:val="00715C81"/>
    <w:rsid w:val="00850CEC"/>
    <w:rsid w:val="008C1194"/>
    <w:rsid w:val="009E64BE"/>
    <w:rsid w:val="00B0609C"/>
    <w:rsid w:val="00B72450"/>
    <w:rsid w:val="00B80935"/>
    <w:rsid w:val="00BC6AE6"/>
    <w:rsid w:val="00D347CC"/>
    <w:rsid w:val="00D37971"/>
    <w:rsid w:val="00E16FC3"/>
    <w:rsid w:val="00E27722"/>
    <w:rsid w:val="00FB7A51"/>
    <w:rsid w:val="05C5463B"/>
    <w:rsid w:val="0886293B"/>
    <w:rsid w:val="08AE4EA3"/>
    <w:rsid w:val="08CF5491"/>
    <w:rsid w:val="0CA93299"/>
    <w:rsid w:val="0FCD7852"/>
    <w:rsid w:val="131C5C58"/>
    <w:rsid w:val="14AA0608"/>
    <w:rsid w:val="14B73ADB"/>
    <w:rsid w:val="15AC351E"/>
    <w:rsid w:val="1C272866"/>
    <w:rsid w:val="1C7F5684"/>
    <w:rsid w:val="20565578"/>
    <w:rsid w:val="237458FB"/>
    <w:rsid w:val="25560608"/>
    <w:rsid w:val="262A6DA1"/>
    <w:rsid w:val="2EBA7C9A"/>
    <w:rsid w:val="30074B0A"/>
    <w:rsid w:val="310701A8"/>
    <w:rsid w:val="314A69EA"/>
    <w:rsid w:val="31906250"/>
    <w:rsid w:val="341358A7"/>
    <w:rsid w:val="3B5A7CA3"/>
    <w:rsid w:val="3C765FA7"/>
    <w:rsid w:val="3CA644BB"/>
    <w:rsid w:val="3E0B1CF4"/>
    <w:rsid w:val="41010944"/>
    <w:rsid w:val="422C2C67"/>
    <w:rsid w:val="43A53006"/>
    <w:rsid w:val="43D64805"/>
    <w:rsid w:val="4B1C058C"/>
    <w:rsid w:val="5024123C"/>
    <w:rsid w:val="51C72CEE"/>
    <w:rsid w:val="55A21A63"/>
    <w:rsid w:val="5735583F"/>
    <w:rsid w:val="581B6CC1"/>
    <w:rsid w:val="5F4D643C"/>
    <w:rsid w:val="60B713D0"/>
    <w:rsid w:val="685C35F1"/>
    <w:rsid w:val="68CC3E21"/>
    <w:rsid w:val="6CD56F25"/>
    <w:rsid w:val="6FCD2063"/>
    <w:rsid w:val="71B65DBB"/>
    <w:rsid w:val="72E761E9"/>
    <w:rsid w:val="732707F0"/>
    <w:rsid w:val="733527F8"/>
    <w:rsid w:val="752B72E0"/>
    <w:rsid w:val="77FE1F88"/>
    <w:rsid w:val="7D4B60AC"/>
    <w:rsid w:val="7E727E92"/>
    <w:rsid w:val="7FF6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1973</Words>
  <Characters>11249</Characters>
  <Lines>93</Lines>
  <Paragraphs>26</Paragraphs>
  <TotalTime>1</TotalTime>
  <ScaleCrop>false</ScaleCrop>
  <LinksUpToDate>false</LinksUpToDate>
  <CharactersWithSpaces>13196</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2021-03-06T06:21:00Z</dcterms:created>
  <dc:creator>guest</dc:creator>
  <cp:lastModifiedBy>Administrator</cp:lastModifiedBy>
  <cp:lastPrinted>2018-01-30T06:12:00Z</cp:lastPrinted>
  <dcterms:modified xsi:type="dcterms:W3CDTF">2021-03-10T01:54:06Z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