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val="en-US" w:eastAsia="zh-CN"/>
        </w:rPr>
        <w:t>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根据《廊坊市应急管理局职能配置、内设机构和人员编制规定》，廊坊市应急管理局的主要职责是：</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（一）负责应急管理工作，指导各级各部门应对安全生产类、自然灾害类等突发事件和综合防灾减灾救灾工作。负责安全生产综合监督管理和工矿商贸行业安全生产监督管理工作。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（二）拟订应急管理、安全生产等政策规定，组织编制市应急体系建设、安全生产和综合防灾减灾规划，组织编制防震减灾规划、计划，组织制定相关规程和标准并监督实施。</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（四）牵头建立统一的全市应急管理信息系统，负责信息传输渠道的规划和布局，建立监测预警和灾情报告制度，健全自然灾害信息资源获取和共享机制，依法统一发布灾情。</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（八）组织协调消防工作，指导各级消防监督、火灾预防、火灾扑救等工作。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（九）指导协调森林和草原火灾、水旱灾害、地质灾害等防治工作，组织开展地震监测预报工作和地震灾害预防工作，负责自然灾害综合监测预警工作，指导开展自然灾害综合风险评估工作。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（十）组织协调灾害救助工作，组织指导灾情核查、损失评估、救灾捐赠工作，管理、分配市救灾款物并监督使用。</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（十一）依法行使市安全生产综合监督管理职权，指导协调、监督检查市有关部门和各县（市、区）政府、廊坊开发区管委会安全生产工作，组织开展安全生产巡查、考核工作。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的安全生产工作；按照有关要求，负责监督管理驻廊中央、省属企业的安全生产工作；依法组织并指导监督实施安全生产准入制度；负责危险化学品安全监督管理综合工作和烟花爆竹安全生产监督管理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（十四）制定应急物资储备和应急救援装备规划并组织实施，会同市粮食和物资储备等部门建立健全应急物资信息平台和调拨制度，在救灾时统一调度。</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（十五）负责应急管理、安全生产宣传教育和培训工作，组织指导应急管理、安全生产的科学技术研究、推广应用和信息化建设工作。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（十六）负责组织指导协调和监督全市安全生产行政执法工作，组织开展对市属企业和驻廊中央、省属企业的执法检查，组织开展对安全生产重点企业的执法检查，负责全市抗震设防执法工作。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（十七）组织开展应急管理方面的对外交流与合作。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（十八）完成市委、市政府交办的其他任务。</w:t>
      </w:r>
    </w:p>
    <w:p>
      <w:pPr>
        <w:autoSpaceDE w:val="0"/>
        <w:autoSpaceDN w:val="0"/>
        <w:adjustRightInd w:val="0"/>
        <w:spacing w:line="584" w:lineRule="exact"/>
        <w:ind w:firstLine="629"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0"/>
        <w:gridCol w:w="2066"/>
        <w:gridCol w:w="151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270"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单位名称</w:t>
            </w:r>
          </w:p>
        </w:tc>
        <w:tc>
          <w:tcPr>
            <w:tcW w:w="2066"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单位性质</w:t>
            </w:r>
          </w:p>
        </w:tc>
        <w:tc>
          <w:tcPr>
            <w:tcW w:w="1517"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27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6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517"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70" w:type="dxa"/>
            <w:shd w:val="clear" w:color="auto" w:fill="auto"/>
            <w:vAlign w:val="center"/>
          </w:tcPr>
          <w:p>
            <w:pPr>
              <w:spacing w:line="584"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eastAsia="zh-CN"/>
              </w:rPr>
              <w:t>廊坊市应急管理局</w:t>
            </w:r>
          </w:p>
        </w:tc>
        <w:tc>
          <w:tcPr>
            <w:tcW w:w="20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行政单位</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正处级</w:t>
            </w:r>
          </w:p>
        </w:tc>
        <w:tc>
          <w:tcPr>
            <w:tcW w:w="29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机</w:t>
      </w:r>
      <w:r>
        <w:rPr>
          <w:rFonts w:ascii="Times New Roman" w:hAnsi="Times New Roman" w:eastAsia="仿宋_GB2312" w:cs="Times New Roman"/>
          <w:color w:val="auto"/>
          <w:sz w:val="32"/>
          <w:szCs w:val="32"/>
        </w:rPr>
        <w:t>关及所属事业单位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2976.14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应急管理局2023</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2197.97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1941.15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256.82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898.17</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应急管理业务经费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加快推进河北省重大活动应急通信保障能力提升工程专项资金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安全生产执法队经费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w:t>
      </w:r>
      <w:r>
        <w:rPr>
          <w:rFonts w:ascii="Times New Roman" w:hAnsi="Times New Roman" w:eastAsia="仿宋_GB2312" w:cs="Times New Roman"/>
          <w:sz w:val="32"/>
          <w:szCs w:val="32"/>
          <w:highlight w:val="none"/>
        </w:rPr>
        <w:t>算减少</w:t>
      </w:r>
      <w:r>
        <w:rPr>
          <w:rFonts w:hint="eastAsia" w:ascii="Times New Roman" w:hAnsi="Times New Roman" w:eastAsia="仿宋_GB2312" w:cs="Times New Roman"/>
          <w:sz w:val="32"/>
          <w:szCs w:val="32"/>
          <w:highlight w:val="none"/>
          <w:lang w:val="en-US" w:eastAsia="zh-CN"/>
        </w:rPr>
        <w:t>1137.98</w:t>
      </w:r>
      <w:r>
        <w:rPr>
          <w:rFonts w:ascii="Times New Roman" w:hAnsi="Times New Roman" w:eastAsia="仿宋_GB2312" w:cs="Times New Roman"/>
          <w:sz w:val="32"/>
          <w:szCs w:val="32"/>
          <w:highlight w:val="none"/>
        </w:rPr>
        <w:t>万元，其中：基本支出增加</w:t>
      </w:r>
      <w:r>
        <w:rPr>
          <w:rFonts w:hint="eastAsia" w:ascii="Times New Roman" w:hAnsi="Times New Roman" w:eastAsia="仿宋_GB2312" w:cs="Times New Roman"/>
          <w:sz w:val="32"/>
          <w:szCs w:val="32"/>
          <w:highlight w:val="none"/>
          <w:lang w:val="en-US" w:eastAsia="zh-CN"/>
        </w:rPr>
        <w:t>93.47</w:t>
      </w:r>
      <w:r>
        <w:rPr>
          <w:rFonts w:ascii="Times New Roman" w:hAnsi="Times New Roman" w:eastAsia="仿宋_GB2312" w:cs="Times New Roman"/>
          <w:sz w:val="32"/>
          <w:szCs w:val="32"/>
          <w:highlight w:val="none"/>
        </w:rPr>
        <w:t>万元，主要为</w:t>
      </w:r>
      <w:r>
        <w:rPr>
          <w:rFonts w:hint="eastAsia" w:ascii="仿宋_GB2312" w:hAnsi="仿宋_GB2312" w:eastAsia="仿宋_GB2312" w:cs="仿宋_GB2312"/>
          <w:color w:val="000000" w:themeColor="text1"/>
          <w:sz w:val="32"/>
          <w:szCs w:val="32"/>
          <w:highlight w:val="none"/>
        </w:rPr>
        <w:t>人员经费和日常公用经费</w:t>
      </w:r>
      <w:r>
        <w:rPr>
          <w:rFonts w:ascii="Times New Roman" w:hAnsi="Times New Roman" w:eastAsia="仿宋_GB2312" w:cs="Times New Roman"/>
          <w:sz w:val="32"/>
          <w:szCs w:val="32"/>
          <w:highlight w:val="none"/>
        </w:rPr>
        <w:t>支出；项目支出减少</w:t>
      </w:r>
      <w:r>
        <w:rPr>
          <w:rFonts w:hint="eastAsia" w:ascii="Times New Roman" w:hAnsi="Times New Roman" w:eastAsia="仿宋_GB2312" w:cs="Times New Roman"/>
          <w:sz w:val="32"/>
          <w:szCs w:val="32"/>
          <w:highlight w:val="none"/>
          <w:lang w:val="en-US" w:eastAsia="zh-CN"/>
        </w:rPr>
        <w:t>1231.45</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，主要为</w:t>
      </w:r>
      <w:r>
        <w:rPr>
          <w:rFonts w:hint="eastAsia" w:ascii="仿宋_GB2312" w:hAnsi="仿宋_GB2312" w:eastAsia="仿宋_GB2312" w:cs="仿宋_GB2312"/>
          <w:color w:val="000000" w:themeColor="text1"/>
          <w:sz w:val="32"/>
          <w:szCs w:val="32"/>
        </w:rPr>
        <w:t>应急管理业务经费</w:t>
      </w:r>
      <w:r>
        <w:rPr>
          <w:rFonts w:ascii="Times New Roman" w:hAnsi="Times New Roman" w:eastAsia="仿宋_GB2312" w:cs="Times New Roman"/>
          <w:sz w:val="32"/>
          <w:szCs w:val="32"/>
        </w:rPr>
        <w:t>项目支出。</w:t>
      </w:r>
    </w:p>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130.06</w:t>
      </w:r>
      <w:r>
        <w:rPr>
          <w:rFonts w:ascii="Times New Roman" w:hAnsi="Times New Roman" w:eastAsia="仿宋_GB2312" w:cs="Times New Roman"/>
          <w:sz w:val="32"/>
          <w:szCs w:val="32"/>
        </w:rPr>
        <w:t>万元，主要用于</w:t>
      </w:r>
      <w:r>
        <w:rPr>
          <w:rFonts w:hint="eastAsia" w:ascii="仿宋_GB2312" w:hAnsi="仿宋_GB2312" w:eastAsia="仿宋_GB2312" w:cs="仿宋_GB2312"/>
          <w:sz w:val="32"/>
          <w:szCs w:val="32"/>
        </w:rPr>
        <w:t>廊坊市应急管理局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hint="eastAsia" w:ascii="Times New Roman" w:hAnsi="黑体" w:eastAsia="黑体" w:cs="Times New Roman"/>
          <w:sz w:val="32"/>
          <w:szCs w:val="32"/>
        </w:rPr>
      </w:pPr>
      <w:r>
        <w:rPr>
          <w:rFonts w:hint="eastAsia" w:ascii="Times New Roman"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42.71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color w:val="auto"/>
          <w:sz w:val="32"/>
          <w:szCs w:val="32"/>
          <w:highlight w:val="none"/>
          <w:lang w:val="en-US" w:eastAsia="zh-CN"/>
        </w:rPr>
        <w:t>.86</w:t>
      </w:r>
      <w:r>
        <w:rPr>
          <w:rFonts w:ascii="Times New Roman" w:hAnsi="Times New Roman" w:eastAsia="仿宋_GB2312" w:cs="Times New Roman"/>
          <w:color w:val="auto"/>
          <w:sz w:val="32"/>
          <w:szCs w:val="32"/>
          <w:highlight w:val="none"/>
        </w:rPr>
        <w:t>万元（其中：公务用车购置费为</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万元，公务用车运维费</w:t>
      </w:r>
      <w:r>
        <w:rPr>
          <w:rFonts w:hint="eastAsia" w:ascii="Times New Roman" w:hAnsi="Times New Roman" w:eastAsia="仿宋_GB2312" w:cs="Times New Roman"/>
          <w:color w:val="auto"/>
          <w:sz w:val="32"/>
          <w:szCs w:val="32"/>
          <w:highlight w:val="none"/>
          <w:lang w:val="en-US" w:eastAsia="zh-CN"/>
        </w:rPr>
        <w:t>40.86</w:t>
      </w:r>
      <w:r>
        <w:rPr>
          <w:rFonts w:ascii="Times New Roman" w:hAnsi="Times New Roman" w:eastAsia="仿宋_GB2312" w:cs="Times New Roman"/>
          <w:color w:val="auto"/>
          <w:sz w:val="32"/>
          <w:szCs w:val="32"/>
          <w:highlight w:val="none"/>
        </w:rPr>
        <w:t>万元)；公务接待费</w:t>
      </w:r>
      <w:r>
        <w:rPr>
          <w:rFonts w:hint="eastAsia" w:ascii="Times New Roman" w:hAnsi="Times New Roman" w:eastAsia="仿宋_GB2312" w:cs="Times New Roman"/>
          <w:color w:val="auto"/>
          <w:sz w:val="32"/>
          <w:szCs w:val="32"/>
          <w:highlight w:val="none"/>
          <w:lang w:val="en-US" w:eastAsia="zh-CN"/>
        </w:rPr>
        <w:t>1.85</w:t>
      </w:r>
      <w:r>
        <w:rPr>
          <w:rFonts w:ascii="Times New Roman" w:hAnsi="Times New Roman" w:eastAsia="仿宋_GB2312" w:cs="Times New Roman"/>
          <w:color w:val="auto"/>
          <w:sz w:val="32"/>
          <w:szCs w:val="32"/>
          <w:highlight w:val="none"/>
        </w:rPr>
        <w:t>万元。与20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rPr>
        <w:t>相比</w:t>
      </w:r>
      <w:r>
        <w:rPr>
          <w:rFonts w:ascii="Times New Roman" w:hAnsi="Times New Roman" w:eastAsia="仿宋_GB2312" w:cs="Times New Roman"/>
          <w:color w:val="auto"/>
          <w:sz w:val="32"/>
          <w:szCs w:val="32"/>
          <w:highlight w:val="none"/>
        </w:rPr>
        <w:t>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公务用车购置及运维费减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万元（其中：公务用车购置费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万元，公务用车运维费减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rPr>
        <w:t>我部门切实落实勤俭节约各项规定，压减公车运行经费支出</w:t>
      </w:r>
      <w:r>
        <w:rPr>
          <w:rFonts w:ascii="Times New Roman" w:hAnsi="Times New Roman" w:eastAsia="仿宋_GB2312" w:cs="Times New Roman"/>
          <w:color w:val="auto"/>
          <w:sz w:val="32"/>
          <w:szCs w:val="32"/>
          <w:highlight w:val="none"/>
        </w:rPr>
        <w:t>；公务接待费</w:t>
      </w:r>
      <w:r>
        <w:rPr>
          <w:rFonts w:hint="eastAsia" w:ascii="Times New Roman" w:hAnsi="Times New Roman" w:eastAsia="仿宋_GB2312" w:cs="Times New Roman"/>
          <w:color w:val="auto"/>
          <w:sz w:val="32"/>
          <w:szCs w:val="32"/>
          <w:highlight w:val="none"/>
          <w:lang w:val="en-US" w:eastAsia="zh-CN"/>
        </w:rPr>
        <w:t>1.85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与20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2"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坚持优化、协同、高效的原则，着力防风险、保稳定、建制度、补短板，大力推进应急治理体系和治理能力现代化，进一步完善安全生产、防灾减灾、应急救援体系和运行机制，着力构建统一指挥、专常兼备、反应灵敏、上下联动、平战结合的应急管理体制；扎实推进重点工程和专项行动有效实施，促进全市安全生产水平、自然灾害防治能力、重大灾害救助能力、应急救援能力、信息化支撑能力明显提升；安全风险防范工作取得扎实成效，灾害损失明显减少；安全生产形势持续稳定，较大事故进一步减少，重特大事故得到有效遏制。全年组织重特大事故救援演练1次、开展防灾减灾应急演练1次，应急宣传受众100万人次、应急安全培训人数2000人次以上，安全负责人、考核安全生产管理人员和特种作业人员8000人次、对60家以上重点生产经营单位开展安全生产执法检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rPr>
        <w:t>全面提升应急指挥和综合救援水平</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绩效目标：通过加强突发事件应急指挥协调保障、增加应急救援装备和物资储备，开展大练兵、大比武活动、完善应急预案，有效提升应急指挥和综合救援能力。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绩效指标：开展重特大事故救援演练1次，开展防灾减灾演练1次，全年因灾害造成人员伤亡和财产损失比上年度下降。</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切实提高自然灾害防治能力</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绩效目标：通过组织开展灾害风险会商，对灾害风险形势和主要灾害趋势定期进行会商研判，加强灾害监测预警，推动全市自然灾害分类监测和分级预警体系建设，切实提升自然灾害防治能力。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绩效指标：实现省市县和部门间信息互通共享，监测预警系统正常运行率在95%以上，开展地震、洪涝、森林火灾等灾害趋势会商研判15次以上。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rPr>
        <w:t>持续做好安全风险防范化解</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绩效目标：通过继续开展“安全生产双控”机制建设、严格安全准入许可，强化安全生产执法检查，有效防范化解安全风险，保持全市安全生产形势持续稳定。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重点监管企业安全生产“双控”机制完善提高率达到100%、一般行业企业达到80%以上；组织开展安全生产专项整治行动2次以上，全年行政许可按时审批率100%，监督检查生产经营单位200家次以上、对60家以上重点生产经营单位开展安全生产执法检查。</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扎实推进应急管理信息化建设</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绩效目标：通过推进应急管理信息化平台，健全平台各系统功能，提升防灾减灾、应急救援和安全生产监管信息化水平。</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绩效指标：新增8000家以上工贸企业的视频监控覆盖，验收合格率达到95%以上，已建成系统正常运行率达到95%以上。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切实加强应急管理宣传教育</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绩效目标：通过加强与新闻媒体深度合作，提高新闻发布、公益宣传和舆情应对水平，建立“安全提示”协调联动机制，提升公众应急和安全生产意识和能力。</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全年开展集中应急宣传活动2次以上，廊坊电视台廊坊应急专栏1期以上，廊坊日报、廊坊都市报、廊坊应急专栏1期以上，廊坊电台畅行951安全提示50期以上，微信公众号、官方微博信息更新150次以上，安全生产月宣传活动1次，中</w:t>
      </w:r>
      <w:r>
        <w:rPr>
          <w:rFonts w:hint="eastAsia" w:ascii="仿宋_GB2312" w:hAnsi="仿宋_GB2312" w:eastAsia="仿宋_GB2312" w:cs="仿宋_GB2312"/>
          <w:sz w:val="32"/>
          <w:szCs w:val="24"/>
          <w:lang w:eastAsia="zh-CN"/>
        </w:rPr>
        <w:t>央、</w:t>
      </w:r>
      <w:r>
        <w:rPr>
          <w:rFonts w:hint="eastAsia" w:ascii="仿宋_GB2312" w:hAnsi="仿宋_GB2312" w:eastAsia="仿宋_GB2312" w:cs="仿宋_GB2312"/>
          <w:sz w:val="32"/>
          <w:szCs w:val="24"/>
        </w:rPr>
        <w:t>省</w:t>
      </w:r>
      <w:r>
        <w:rPr>
          <w:rFonts w:hint="eastAsia" w:ascii="仿宋_GB2312" w:hAnsi="仿宋_GB2312" w:eastAsia="仿宋_GB2312" w:cs="仿宋_GB2312"/>
          <w:sz w:val="32"/>
          <w:szCs w:val="24"/>
          <w:lang w:eastAsia="zh-CN"/>
        </w:rPr>
        <w:t>、</w:t>
      </w:r>
      <w:bookmarkStart w:id="2" w:name="_GoBack"/>
      <w:bookmarkEnd w:id="2"/>
      <w:r>
        <w:rPr>
          <w:rFonts w:hint="eastAsia" w:ascii="仿宋_GB2312" w:hAnsi="仿宋_GB2312" w:eastAsia="仿宋_GB2312" w:cs="仿宋_GB2312"/>
          <w:sz w:val="32"/>
          <w:szCs w:val="24"/>
        </w:rPr>
        <w:t>市级传统媒体及新媒体刊登我市文章20篇以上，应急宣传受众人数达到100万人次以上。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rPr>
        <w:t>持续夯实基层基础</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绩效目标：通过开展应急管理培训、应急科技推广、事故灾害调查统计工作、自然灾害普查，提升应急管理和安全生产基础能力，提升本质安全水平。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绩效指标：全年应急和安全生产培训人数2000人次以上，考核安全负责人、安全生产管理人员和特种作业人员8000人以上，生产安全事故调查结案率100%，地震流动科普馆巡展不少于3次。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为实现年度总体目标，采取以下保障措施：</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组织领导。成立以局主要领导为组长，相关分管领导为成员的年度部门预算执行工作领导小组，定期调度研判预算执行情况。督促预算执行部门加快项目实施进度，帮助解决预算执行过程中的问题，监督项目资金使用效益。</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制度建设。全面梳理本部门财务管理制度体系，以近年来预算执行、决算、内审、审计发现的问题为导向，完善制度建设，为预算执行建立完善的制度保障。一是对已有制度进行修订，使之执行更有效。二是填补制度空白，抓紧制定一批新制度、新规定，部门制度体系更完善。</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支出管理。通过优化支出结构、编细编实预算、提高内控审批效率、加快履行政府采购手续，尽快启动项目、及时支付资金等多种措施，确保支出进度达标。重点是通过限定内部审批时限来解决内部审批效率问题，通过提升采购需求文件质来压缩办理采购手续时间的问题。</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绩效运行监控。按照《廊坊市应急管理局预算绩效管理办法》（廊应急〔2019〕143号）及市财政局相关绩效管理规定，充分发挥局预算绩效管理工作领导小组及其办公室职能，开展绩效运行监控,及时发现运行中的偏差情况，并采取有效的措施予以纠偏，确保绩效目标如期保质实现。</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做好绩效自评。按要求开展上年度部门预算绩效自评和重点评价工作,对评价中发现的问题及时整改。针对上年度问题情况，“举一反三”，及时调整优化本年度支出结构,提高资金使用效益。</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规范财务资产管理。完善机关财务管理制度，严格审批程序。加强固定资产登记、使用和报废处置管理，做到支出合理，物尽其用。落实资产使用管理责任制度，谁使用谁保管谁负责，定期开展资产清查，确保国有资产安全。</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内部监督。加强内部监督制度建设，建立内部监督机制、设立内部监督机构，对绩效运行情况、重大支出决策、资产处置及其他重要经济业务事项的决策和执行进行监督，对会计资料定期进行内部审计,并配合做好审计、财政监督等外部监督工作，确保财政资金安全有效。</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强宣传培训调研。一是重点加强对项目承办科室人员培训。提升项目承办科室人员财务管理、政府采购和预算绩效管理等方面的能力，提高项目实施前、中、后绩效管理水平。二是加强调研,研究优化财政资金配置、提高资金使用效益的有效措施；加大宣传力度，强化全局干部职工预算绩效管理意识，促进预算绩效管理水平进一步提升。</w:t>
      </w:r>
    </w:p>
    <w:p>
      <w:pPr>
        <w:rPr>
          <w:rFonts w:hint="eastAsia" w:ascii="楷体_GB2312" w:eastAsia="楷体_GB2312" w:cs="Times New Roman"/>
          <w:b/>
          <w:sz w:val="32"/>
          <w:szCs w:val="32"/>
        </w:rPr>
      </w:pPr>
      <w:r>
        <w:rPr>
          <w:rFonts w:hint="eastAsia" w:ascii="楷体_GB2312" w:eastAsia="楷体_GB2312" w:cs="Times New Roman"/>
          <w:b/>
          <w:sz w:val="32"/>
          <w:szCs w:val="32"/>
        </w:rPr>
        <w:br w:type="page"/>
      </w:r>
    </w:p>
    <w:p>
      <w:pPr>
        <w:overflowPunct w:val="0"/>
        <w:adjustRightInd w:val="0"/>
        <w:snapToGrid w:val="0"/>
        <w:spacing w:afterLines="50" w:line="584" w:lineRule="exact"/>
        <w:ind w:firstLine="629"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26"/>
        <w:gridCol w:w="785"/>
        <w:gridCol w:w="2151"/>
        <w:gridCol w:w="2536"/>
        <w:gridCol w:w="3082"/>
        <w:gridCol w:w="568"/>
        <w:gridCol w:w="568"/>
        <w:gridCol w:w="568"/>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一级指标</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二级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w:t>
            </w:r>
          </w:p>
        </w:tc>
        <w:tc>
          <w:tcPr>
            <w:tcW w:w="76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三级指标</w:t>
            </w:r>
          </w:p>
        </w:tc>
        <w:tc>
          <w:tcPr>
            <w:tcW w:w="90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评（扣）分标准</w:t>
            </w:r>
          </w:p>
        </w:tc>
        <w:tc>
          <w:tcPr>
            <w:tcW w:w="110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绩效指标描述</w:t>
            </w:r>
          </w:p>
        </w:tc>
        <w:tc>
          <w:tcPr>
            <w:tcW w:w="609"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指标值</w:t>
            </w:r>
          </w:p>
        </w:tc>
        <w:tc>
          <w:tcPr>
            <w:tcW w:w="114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46" w:hRule="atLeast"/>
          <w:tblHeader/>
          <w:jc w:val="center"/>
        </w:trPr>
        <w:tc>
          <w:tcPr>
            <w:tcW w:w="188" w:type="pct"/>
            <w:vMerge w:val="continue"/>
            <w:tcBorders>
              <w:tl2br w:val="nil"/>
              <w:tr2bl w:val="nil"/>
            </w:tcBorders>
            <w:vAlign w:val="center"/>
          </w:tcPr>
          <w:p>
            <w:pPr>
              <w:spacing w:line="584" w:lineRule="exact"/>
            </w:pPr>
          </w:p>
        </w:tc>
        <w:tc>
          <w:tcPr>
            <w:tcW w:w="280" w:type="pct"/>
            <w:vMerge w:val="continue"/>
            <w:tcBorders>
              <w:tl2br w:val="nil"/>
              <w:tr2bl w:val="nil"/>
            </w:tcBorders>
            <w:vAlign w:val="center"/>
          </w:tcPr>
          <w:p>
            <w:pPr>
              <w:spacing w:line="584" w:lineRule="exact"/>
            </w:pPr>
          </w:p>
        </w:tc>
        <w:tc>
          <w:tcPr>
            <w:tcW w:w="769" w:type="pct"/>
            <w:vMerge w:val="continue"/>
            <w:tcBorders>
              <w:tl2br w:val="nil"/>
              <w:tr2bl w:val="nil"/>
            </w:tcBorders>
            <w:vAlign w:val="center"/>
          </w:tcPr>
          <w:p>
            <w:pPr>
              <w:spacing w:line="584" w:lineRule="exact"/>
            </w:pPr>
          </w:p>
        </w:tc>
        <w:tc>
          <w:tcPr>
            <w:tcW w:w="907" w:type="pct"/>
            <w:vMerge w:val="continue"/>
            <w:tcBorders>
              <w:tl2br w:val="nil"/>
              <w:tr2bl w:val="nil"/>
            </w:tcBorders>
            <w:vAlign w:val="center"/>
          </w:tcPr>
          <w:p>
            <w:pPr>
              <w:spacing w:line="584" w:lineRule="exact"/>
            </w:pPr>
          </w:p>
        </w:tc>
        <w:tc>
          <w:tcPr>
            <w:tcW w:w="1102" w:type="pct"/>
            <w:vMerge w:val="continue"/>
            <w:tcBorders>
              <w:tl2br w:val="nil"/>
              <w:tr2bl w:val="nil"/>
            </w:tcBorders>
            <w:vAlign w:val="center"/>
          </w:tcPr>
          <w:p>
            <w:pPr>
              <w:spacing w:line="584" w:lineRule="exact"/>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符号</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值</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单位</w:t>
            </w:r>
          </w:p>
        </w:tc>
        <w:tc>
          <w:tcPr>
            <w:tcW w:w="1140" w:type="pct"/>
            <w:vMerge w:val="continue"/>
            <w:tcBorders>
              <w:tl2br w:val="nil"/>
              <w:tr2bl w:val="nil"/>
            </w:tcBorders>
            <w:vAlign w:val="center"/>
          </w:tcPr>
          <w:p>
            <w:pPr>
              <w:spacing w:line="58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lang w:val="en-US" w:eastAsia="zh-CN"/>
              </w:rPr>
              <w:t>部门</w:t>
            </w:r>
            <w:r>
              <w:rPr>
                <w:rFonts w:ascii="方正书宋_GBK" w:eastAsia="方正书宋_GBK"/>
              </w:rPr>
              <w:t>产出</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数量</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全年组织应急演练次数。</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每少演练一次，扣除权重分的50%。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重特大事故救援</w:t>
            </w:r>
            <w:r>
              <w:rPr>
                <w:rFonts w:hint="eastAsia" w:ascii="仿宋_GB2312" w:hAnsi="仿宋_GB2312" w:eastAsia="仿宋_GB2312" w:cs="仿宋_GB2312"/>
                <w:color w:val="auto"/>
                <w:kern w:val="0"/>
                <w:sz w:val="21"/>
                <w:szCs w:val="21"/>
              </w:rPr>
              <w:t>演练、地震应急桌面演练次数。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监控企业</w:t>
            </w:r>
            <w:r>
              <w:rPr>
                <w:rFonts w:hint="eastAsia" w:ascii="仿宋_GB2312" w:hAnsi="仿宋_GB2312" w:eastAsia="仿宋_GB2312" w:cs="仿宋_GB2312"/>
                <w:color w:val="auto"/>
                <w:kern w:val="0"/>
                <w:sz w:val="21"/>
                <w:szCs w:val="21"/>
              </w:rPr>
              <w:t>数量</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w:t>
            </w:r>
            <w:r>
              <w:rPr>
                <w:rFonts w:hint="eastAsia" w:ascii="仿宋_GB2312" w:hAnsi="仿宋_GB2312" w:eastAsia="仿宋_GB2312" w:cs="仿宋_GB2312"/>
                <w:color w:val="auto"/>
                <w:kern w:val="0"/>
                <w:sz w:val="21"/>
                <w:szCs w:val="21"/>
                <w:lang w:eastAsia="zh-CN"/>
              </w:rPr>
              <w:t>监控</w:t>
            </w:r>
            <w:r>
              <w:rPr>
                <w:rFonts w:hint="eastAsia" w:ascii="仿宋_GB2312" w:hAnsi="仿宋_GB2312" w:eastAsia="仿宋_GB2312" w:cs="仿宋_GB2312"/>
                <w:color w:val="auto"/>
                <w:kern w:val="0"/>
                <w:sz w:val="21"/>
                <w:szCs w:val="21"/>
                <w:lang w:val="en-US" w:eastAsia="zh-CN"/>
              </w:rPr>
              <w:t>100家</w:t>
            </w:r>
            <w:r>
              <w:rPr>
                <w:rFonts w:hint="eastAsia" w:ascii="仿宋_GB2312" w:hAnsi="仿宋_GB2312" w:eastAsia="仿宋_GB2312" w:cs="仿宋_GB2312"/>
                <w:color w:val="auto"/>
                <w:kern w:val="0"/>
                <w:sz w:val="21"/>
                <w:szCs w:val="21"/>
              </w:rPr>
              <w:t>，扣除权重分的</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eastAsia="zh-CN"/>
              </w:rPr>
              <w:t>新增加工贸行业企业视频监控企业</w:t>
            </w:r>
            <w:r>
              <w:rPr>
                <w:rFonts w:hint="eastAsia" w:ascii="仿宋_GB2312" w:hAnsi="仿宋_GB2312" w:eastAsia="仿宋_GB2312" w:cs="仿宋_GB2312"/>
                <w:color w:val="auto"/>
                <w:kern w:val="0"/>
                <w:sz w:val="21"/>
                <w:szCs w:val="21"/>
                <w:lang w:val="en-US" w:eastAsia="zh-CN"/>
              </w:rPr>
              <w:t>8000家以上</w:t>
            </w: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8000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家</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eastAsia="zh-CN"/>
              </w:rPr>
              <w:t>工作</w:t>
            </w:r>
            <w:r>
              <w:rPr>
                <w:rFonts w:hint="eastAsia" w:ascii="仿宋_GB2312" w:hAnsi="仿宋_GB2312" w:eastAsia="仿宋_GB2312" w:cs="仿宋_GB2312"/>
                <w:color w:val="auto"/>
                <w:kern w:val="0"/>
                <w:sz w:val="21"/>
                <w:szCs w:val="21"/>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安全生产事故数和死亡人数下降率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事故数和死亡人数，一项目未下降，扣除权重分的50%。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安全生产事故数和死亡人数与上年相比的下降情况。</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lang w:val="en-US" w:eastAsia="zh-CN"/>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信息化系统稳定运行时间</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无故障运行天数每减少1天，扣除权重分的1%。</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全年系统无故障运行时间。</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300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天　</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安全生产事故隐患举报受理率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受理率下降5个百分点，扣除权重分的10%。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对符合受理条件的举报案件的受理率。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rPr>
              <w:t>廊坊市安全生产领域举报奖励办法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受灾群众救助率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救助率</w:t>
            </w:r>
            <w:r>
              <w:rPr>
                <w:rFonts w:hint="eastAsia" w:ascii="仿宋_GB2312" w:hAnsi="仿宋_GB2312" w:eastAsia="仿宋_GB2312" w:cs="仿宋_GB2312"/>
                <w:color w:val="auto"/>
                <w:kern w:val="0"/>
                <w:sz w:val="21"/>
                <w:szCs w:val="21"/>
              </w:rPr>
              <w:t>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对受灾人员救助率。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《河北省自然灾害生活救助资金管理办法》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执法监察计划完成率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执法监察完成率每下降5个百分点，扣除权重分的10%。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年度执法监察计划按量完成率。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年度执法监察计划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全年完成安全培训人数</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培训人数每减少100人，扣除权重分的5%。</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防灾救灾和安全生产培训人数。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2000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人</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《安全生产培训管理办法》等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应急宣传集中活动数量</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每省开展一次，扣除权重分的50%。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组织开展安全生产月集中宣传日、全国减灾日等集中宣传活动次数。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2</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“三类人员”考核人数　</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每少考核100人，扣除权重分的1%。</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全年组织全市“三类人员”考试、考核人数。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8000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人次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安全生产执法检查企业数</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每少执法检查4家企业，扣除权重分的10%。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全年对重点生产经营单位执法检查数量。</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家</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年度执法监察计划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应急宣传受众人数</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宣传受众人数每减少1万人次，扣除权重分的1%。</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应急宣传受众人数。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万人次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质量</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演练流程规范率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规范率每下降5个百分点，扣除权重分的10%。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应急演练规范程度。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行政执法、行政许可规范率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每发生1件行政复议、诉讼败诉案，扣除权重分的20%。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严格依法行政，全年办理行政执法和行政许可案件</w:t>
            </w:r>
            <w:r>
              <w:rPr>
                <w:rFonts w:hint="eastAsia" w:ascii="仿宋_GB2312" w:hAnsi="仿宋_GB2312" w:eastAsia="仿宋_GB2312" w:cs="仿宋_GB2312"/>
                <w:color w:val="auto"/>
                <w:kern w:val="0"/>
                <w:sz w:val="21"/>
                <w:szCs w:val="21"/>
                <w:highlight w:val="none"/>
                <w:lang w:val="en-US" w:eastAsia="zh-CN"/>
              </w:rPr>
              <w:t>规范</w:t>
            </w:r>
            <w:r>
              <w:rPr>
                <w:rFonts w:hint="eastAsia" w:ascii="仿宋_GB2312" w:hAnsi="仿宋_GB2312" w:eastAsia="仿宋_GB2312" w:cs="仿宋_GB2312"/>
                <w:color w:val="auto"/>
                <w:kern w:val="0"/>
                <w:sz w:val="21"/>
                <w:szCs w:val="21"/>
                <w:highlight w:val="none"/>
              </w:rPr>
              <w:t>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en-US" w:bidi="ar-SA"/>
              </w:rPr>
            </w:pPr>
            <w:r>
              <w:rPr>
                <w:rFonts w:hint="eastAsia" w:ascii="仿宋_GB2312" w:hAnsi="仿宋_GB2312" w:eastAsia="仿宋_GB2312" w:cs="仿宋_GB2312"/>
                <w:color w:val="auto"/>
                <w:sz w:val="21"/>
                <w:szCs w:val="21"/>
                <w:highlight w:val="none"/>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安全隐患整改率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整改率每下降1个百分点，扣除权重分的5%。</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整改率=（完成整改数/排查出隐患总数）*100%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灾害、事故有效处置率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有效处置率每下降1个百分点，扣除权重分的5%。</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灾害、事故按照相关规定处置。</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举报案件规范调查处理率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每发生1件未规范调查处理的案件，扣除权重分的10%。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举报案件依法调查处理率。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rPr>
              <w:t>廊坊市安全生产领域举报奖励办法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网络安全运行率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全运行率每下降5个百分点，扣除权重分的10%。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应急管理信息化平台网络安全运行率（安全运行天数/全年天数）。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《信息安全技术 网络安全等级保护基本要求》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培训合格率每下降5个百分点，扣除权重分的10%。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培训合格人数占总参训人数的比例。</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《安全生产培训管理办法》《河北省安全生产监督管理局重大行政执法决定法制审核制度（试行）》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时效</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各项重点工作按时完成率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每有1项重点工作未按时完成，扣除权重分的10%。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各项重点工作在本年度内按时完成情况。</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成本</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公用经费控制率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每超预算5个百分点，扣除权重分的10%。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本年度实际支出的公用经费总额小于预算安排的公经费用经费总额。反映和考核对运转成本的实际控制程度。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《廊坊市应急管理局财务管理办法》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人均培训费用</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每发生一次超标准情况，扣除权重分的10%。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每人每天的培训费用。</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rPr>
              <w:t>450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元</w:t>
            </w:r>
            <w:r>
              <w:rPr>
                <w:rFonts w:hint="eastAsia" w:ascii="仿宋_GB2312" w:hAnsi="仿宋_GB2312" w:eastAsia="仿宋_GB2312" w:cs="仿宋_GB2312"/>
                <w:color w:val="auto"/>
                <w:kern w:val="0"/>
                <w:sz w:val="21"/>
                <w:szCs w:val="21"/>
                <w:highlight w:val="none"/>
                <w:lang w:val="en-US" w:eastAsia="zh-CN"/>
              </w:rPr>
              <w:t>/人</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《廊坊市市级机关培训管理办法》等。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会议住宿用房单价</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每发生一次超标准情况，扣除权重分的10%。</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会议住宿用房单价。</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310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元</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《廊坊市市级机关会议管理办法》等。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lang w:val="en-US" w:eastAsia="zh-CN"/>
              </w:rPr>
              <w:t>部门</w:t>
            </w:r>
            <w:r>
              <w:rPr>
                <w:rFonts w:hint="eastAsia" w:ascii="方正书宋_GBK" w:eastAsia="方正书宋_GBK"/>
              </w:rPr>
              <w:t>效果</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效益</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防灾、减灾和救灾能力提升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防灾、减灾和救灾能力提升。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演练达到预期效果，应急预案进一步完善，应急救援能力提升</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演练达到预期效果，应急预案进一步完善，应急救援能力提。</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提高应急管理信息化水平</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提高得满分，不提升不得分。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提高应急管理信息化水平。</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提高</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《河北省应急管理信息化发展规划》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安全生产形势稳定</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稳定得满分，不提升不得分。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全市安全生产形势稳定，降低人民生命和财产损失。</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稳定</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提升从业人员安全生产能力和水平</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提升从业人员安全生产能力和水平。</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生态</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效益</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环境污染项</w:t>
            </w:r>
          </w:p>
        </w:tc>
        <w:tc>
          <w:tcPr>
            <w:tcW w:w="90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出现环境污染项，不得分。</w:t>
            </w:r>
          </w:p>
        </w:tc>
        <w:tc>
          <w:tcPr>
            <w:tcW w:w="1102"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应急演练对环境不造成污染。</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0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项　</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《中华人民共和国环境保护法》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满意度</w:t>
            </w:r>
          </w:p>
        </w:tc>
        <w:tc>
          <w:tcPr>
            <w:tcW w:w="76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服务对象满意度</w:t>
            </w:r>
          </w:p>
        </w:tc>
        <w:tc>
          <w:tcPr>
            <w:tcW w:w="90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务对象满意度每下降1个百分点，扣除权重分的5%。</w:t>
            </w:r>
          </w:p>
        </w:tc>
        <w:tc>
          <w:tcPr>
            <w:tcW w:w="110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服务对象满意度。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调查问卷</w:t>
            </w:r>
          </w:p>
        </w:tc>
      </w:tr>
    </w:tbl>
    <w:p>
      <w:pPr>
        <w:pStyle w:val="2"/>
      </w:pPr>
    </w:p>
    <w:p>
      <w:pPr>
        <w:rPr>
          <w:rFonts w:hint="eastAsia" w:ascii="Times New Roman" w:hAnsi="黑体" w:eastAsia="黑体" w:cs="Times New Roman"/>
          <w:sz w:val="32"/>
          <w:szCs w:val="32"/>
        </w:rPr>
      </w:pPr>
      <w:r>
        <w:rPr>
          <w:rFonts w:hint="eastAsia" w:ascii="Times New Roman" w:hAnsi="黑体" w:eastAsia="黑体" w:cs="Times New Roman"/>
          <w:sz w:val="32"/>
          <w:szCs w:val="32"/>
        </w:rPr>
        <w:br w:type="page"/>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1.应急管理业务经费绩效目标表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777"/>
        <w:gridCol w:w="3168"/>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2345"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1.通过项目的开展，有效遏制重特大生产安全事故发生，维护全市安全生产形势稳定，提升防灾减灾及应急救援能力。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1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1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电视台宣传专栏发布次数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电视台宣传专栏发布次数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≥1期</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廊坊日报廊坊应急专栏发布次数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廊坊日报廊坊应急专栏发布次数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≥1期</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微信公众号、官方微博更新次数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微信公众号、官方微博更新次数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≥150次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科普活动参与人次</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科普活动参与人次</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≥5000人次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督导检查次数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督导检查次数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≥4次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《安全生产法》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质量指标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执法计划完成率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执法计划完成率</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100%</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质量指标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行政许可和行政执法被行政复议、诉讼率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在行政执法中因被管理对象不服，提出行政复议或诉讼的比例</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行政许可法、行政复议法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时效指标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重点工作按计划完成率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年度工作要点及上级安排重点工作按时完成率</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≥95%</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成本指标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成本控制率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不超过年初预算</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≤245万元</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社会效益指标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全市安全生产形势稳定</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全市安全生产形势稳定，提升全市防灾减灾能力和水平</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提升</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≥95%</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调查问卷</w:t>
            </w:r>
          </w:p>
        </w:tc>
      </w:tr>
    </w:tbl>
    <w:p>
      <w:pPr>
        <w:pStyle w:val="2"/>
      </w:pP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2.2022年中央自然灾害救灾资金绩效目标表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rPr>
            </w:pPr>
            <w:r>
              <w:rPr>
                <w:rFonts w:hint="eastAsia" w:ascii="仿宋_GB2312" w:hAnsi="仿宋_GB2312" w:eastAsia="仿宋_GB2312" w:cs="仿宋_GB2312"/>
              </w:rPr>
              <w:t>1.完成防汛应急装备购置，提高应急抢险水平</w:t>
            </w:r>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2.增加防汛应急装备储备，减少自然灾害损失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防汛应急装备购置数量</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防汛应急装备购置数量</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1台（套）</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防汛应急装备验收通过率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防汛应急装备验收通过率</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防汛应急装备购置完成时限</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2023年6月30日前</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2023年6月30日前</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实际成本占预算金额比重</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灾区社会秩序稳定有序</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灾区社会秩序稳定有序</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零投诉</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.安全生产举报奖励专项资金绩效目标表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754"/>
        <w:gridCol w:w="2089"/>
        <w:gridCol w:w="2331"/>
        <w:gridCol w:w="2019"/>
        <w:gridCol w:w="3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top"/>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1.依法对经核查举报情况属实的举报人进行奖励。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top"/>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5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8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33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01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46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举报受理率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举报受理率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举报案件调查处理率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举报案件调查处理率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举报案件按时办结率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7个工作日内办结，如不能按期完成，申请延期</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≤5万元</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提高群众监督企业安全生产积极性</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加强安全生产工作的群众监督</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加强安全生产工作的群众监督</w:t>
            </w:r>
          </w:p>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零投诉</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.安全生产执法队经费绩效目标表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t>1.通过辅助执法达到有效防范安全生产事故的发生，确保安全生产持续稳定。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劳务派遣人数</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劳务派遣人数</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25人</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对劳务派遣人员考核合格率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对劳务派遣人员考核合格率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基本工资及保险保障率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基本工资及保险保障率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劳务派遣人员劳务费</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劳务派遣人员劳务费</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≤135万元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提高执法监察力度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提高执法监察力度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.安全生产重特大事故救援演练专项经费绩效目标表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720"/>
        <w:gridCol w:w="1984"/>
        <w:gridCol w:w="2827"/>
        <w:gridCol w:w="1777"/>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1.通过项目的开展完成锻炼应急救援队伍，实现应急处置能力的提升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2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82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7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3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演练规范程度</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演练规范程度</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完成时间</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12月底前完成</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12月底前完成</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支出费用</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达到预期效果</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实际效果与预期效果的比值</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可持续影响指标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提高应急处置能力</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突发事件应急处置完成率</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rPr>
        <w:t>.办公场所搬迁专项经费绩效目标表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1.完成机关办公场所及考试中心搬迁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完成局机关及考试中心两处办公场所搬迁</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完成局机关及考试中心两处办公场所搬迁</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2处</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搬迁后，正常办公秩序保障率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搬迁后，正常办公秩序保障率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6月底前完成</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不超过年初预算数</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≤45万元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7</w:t>
      </w:r>
      <w:r>
        <w:rPr>
          <w:rFonts w:hint="eastAsia" w:ascii="仿宋_GB2312" w:hAnsi="仿宋_GB2312" w:eastAsia="仿宋_GB2312" w:cs="仿宋_GB2312"/>
          <w:sz w:val="32"/>
          <w:szCs w:val="24"/>
        </w:rPr>
        <w:t>.加快推进河北省重大活动应急通信保障能力提升工程专项资金绩效目标表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685"/>
        <w:gridCol w:w="2112"/>
        <w:gridCol w:w="2619"/>
        <w:gridCol w:w="2031"/>
        <w:gridCol w:w="3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1.提高重大活动应急通信保障能力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6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1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61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03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2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58台</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错误率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系统运行错误率</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2023年1月投入使用</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不超过当年预算</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≤275.89万元</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rPr>
        <w:t>.应急管理信息平台运行维护经费绩效目标表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1.通过对设备及系统的有效保障，努力实现各类系统全年无故障运行。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运行时间</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全年系统无故障运行时间</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≥300天</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工作任务完成率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工作任务完成率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既定目标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故障恢复时间</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故障恢复时间</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&lt;48小时</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提升应急管理工作信息化保障能力</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提升应急管理工作信息化保障能力</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系统稳定性满意度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系统使用人员满意度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9</w:t>
      </w:r>
      <w:r>
        <w:rPr>
          <w:rFonts w:hint="eastAsia" w:ascii="仿宋_GB2312" w:hAnsi="仿宋_GB2312" w:eastAsia="仿宋_GB2312" w:cs="仿宋_GB2312"/>
          <w:sz w:val="32"/>
          <w:szCs w:val="24"/>
        </w:rPr>
        <w:t>.应急管理信息平台运行维护经费绩效目标表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1.完成一线执法人员综合行政执法制式服装和标志首次配发，推进本部门规范文明执法。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实际配发人数与应配发人数的比率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配发服装、标志的验收合格率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按时配发率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按照计划时间配发</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每套成本</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每套成本控制在4035元之内</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≤4035元/套</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autoSpaceDE w:val="0"/>
        <w:autoSpaceDN w:val="0"/>
        <w:adjustRightInd w:val="0"/>
        <w:spacing w:line="584" w:lineRule="exact"/>
        <w:jc w:val="left"/>
        <w:rPr>
          <w:rFonts w:ascii="Times New Roman" w:hAnsi="黑体" w:eastAsia="黑体" w:cs="Times New Roman"/>
          <w:color w:val="FF0000"/>
          <w:sz w:val="44"/>
          <w:szCs w:val="44"/>
        </w:rPr>
      </w:pPr>
    </w:p>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spacing w:line="584" w:lineRule="exact"/>
        <w:outlineLvl w:val="1"/>
        <w:rPr>
          <w:rFonts w:ascii="方正小标宋_GBK" w:eastAsia="方正小标宋_GBK" w:cs="Times New Roman"/>
          <w:sz w:val="32"/>
        </w:rPr>
      </w:pPr>
      <w:r>
        <w:rPr>
          <w:rFonts w:hint="eastAsia"/>
          <w:lang w:val="en-US" w:eastAsia="zh-CN"/>
        </w:rPr>
        <w:t>721</w:t>
      </w:r>
      <w:r>
        <w:t>廊坊市</w:t>
      </w:r>
      <w:r>
        <w:rPr>
          <w:rFonts w:hint="eastAsia"/>
          <w:lang w:val="en-US" w:eastAsia="zh-CN"/>
        </w:rPr>
        <w:t>应急管理局</w:t>
      </w:r>
      <w:r>
        <w:t xml:space="preserve">                                                                                                        单位：万元</w:t>
      </w:r>
    </w:p>
    <w:tbl>
      <w:tblPr>
        <w:tblStyle w:val="10"/>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政府采购项目来源</w:t>
            </w:r>
          </w:p>
        </w:tc>
        <w:tc>
          <w:tcPr>
            <w:tcW w:w="113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采购物品名称</w:t>
            </w:r>
          </w:p>
        </w:tc>
        <w:tc>
          <w:tcPr>
            <w:tcW w:w="113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政府采购目录序号</w:t>
            </w:r>
          </w:p>
        </w:tc>
        <w:tc>
          <w:tcPr>
            <w:tcW w:w="709"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计量  单位</w:t>
            </w:r>
          </w:p>
        </w:tc>
        <w:tc>
          <w:tcPr>
            <w:tcW w:w="850"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数量</w:t>
            </w:r>
          </w:p>
        </w:tc>
        <w:tc>
          <w:tcPr>
            <w:tcW w:w="850"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单价</w:t>
            </w:r>
          </w:p>
        </w:tc>
        <w:tc>
          <w:tcPr>
            <w:tcW w:w="7712" w:type="dxa"/>
            <w:gridSpan w:val="8"/>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政府采购金额（当年部门预算安排资金）</w:t>
            </w:r>
          </w:p>
        </w:tc>
        <w:tc>
          <w:tcPr>
            <w:tcW w:w="96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202</w:t>
            </w:r>
            <w:r>
              <w:rPr>
                <w:rFonts w:hint="eastAsia" w:eastAsiaTheme="minorEastAsia"/>
                <w:lang w:eastAsia="zh-CN"/>
              </w:rPr>
              <w:t>3</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项目名称</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预算    资金</w:t>
            </w:r>
          </w:p>
        </w:tc>
        <w:tc>
          <w:tcPr>
            <w:tcW w:w="113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合计</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一般公共预算拨款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基金预算拨款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国有资本经营预算拨款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财政专户核拨</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单位    资金</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财政拨    款结转</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2"/>
              <w:spacing w:line="584" w:lineRule="exact"/>
            </w:pPr>
            <w:r>
              <w:t>合  计</w:t>
            </w:r>
          </w:p>
        </w:tc>
        <w:tc>
          <w:tcPr>
            <w:tcW w:w="964" w:type="dxa"/>
            <w:vAlign w:val="center"/>
          </w:tcPr>
          <w:p>
            <w:pPr>
              <w:pStyle w:val="23"/>
              <w:spacing w:line="584" w:lineRule="exact"/>
            </w:pPr>
          </w:p>
        </w:tc>
        <w:tc>
          <w:tcPr>
            <w:tcW w:w="1134" w:type="dxa"/>
            <w:vAlign w:val="center"/>
          </w:tcPr>
          <w:p>
            <w:pPr>
              <w:pStyle w:val="24"/>
              <w:spacing w:line="584" w:lineRule="exact"/>
            </w:pPr>
          </w:p>
        </w:tc>
        <w:tc>
          <w:tcPr>
            <w:tcW w:w="1134" w:type="dxa"/>
            <w:vAlign w:val="center"/>
          </w:tcPr>
          <w:p>
            <w:pPr>
              <w:pStyle w:val="24"/>
              <w:spacing w:line="584" w:lineRule="exact"/>
            </w:pPr>
          </w:p>
        </w:tc>
        <w:tc>
          <w:tcPr>
            <w:tcW w:w="709" w:type="dxa"/>
            <w:vAlign w:val="center"/>
          </w:tcPr>
          <w:p>
            <w:pPr>
              <w:pStyle w:val="22"/>
              <w:spacing w:line="584" w:lineRule="exact"/>
            </w:pPr>
          </w:p>
        </w:tc>
        <w:tc>
          <w:tcPr>
            <w:tcW w:w="850" w:type="dxa"/>
            <w:vAlign w:val="center"/>
          </w:tcPr>
          <w:p>
            <w:pPr>
              <w:pStyle w:val="23"/>
              <w:spacing w:line="584" w:lineRule="exact"/>
            </w:pPr>
          </w:p>
        </w:tc>
        <w:tc>
          <w:tcPr>
            <w:tcW w:w="850"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22"/>
              <w:spacing w:line="584" w:lineRule="exact"/>
            </w:pPr>
          </w:p>
        </w:tc>
        <w:tc>
          <w:tcPr>
            <w:tcW w:w="964" w:type="dxa"/>
            <w:vAlign w:val="center"/>
          </w:tcPr>
          <w:p>
            <w:pPr>
              <w:pStyle w:val="23"/>
              <w:spacing w:line="584" w:lineRule="exact"/>
            </w:pPr>
          </w:p>
        </w:tc>
        <w:tc>
          <w:tcPr>
            <w:tcW w:w="1134" w:type="dxa"/>
            <w:vAlign w:val="center"/>
          </w:tcPr>
          <w:p>
            <w:pPr>
              <w:pStyle w:val="24"/>
              <w:spacing w:line="584" w:lineRule="exact"/>
            </w:pPr>
          </w:p>
        </w:tc>
        <w:tc>
          <w:tcPr>
            <w:tcW w:w="1134" w:type="dxa"/>
            <w:vAlign w:val="center"/>
          </w:tcPr>
          <w:p>
            <w:pPr>
              <w:pStyle w:val="24"/>
              <w:spacing w:line="584" w:lineRule="exact"/>
            </w:pPr>
          </w:p>
        </w:tc>
        <w:tc>
          <w:tcPr>
            <w:tcW w:w="709" w:type="dxa"/>
            <w:vAlign w:val="center"/>
          </w:tcPr>
          <w:p>
            <w:pPr>
              <w:pStyle w:val="22"/>
              <w:spacing w:line="584" w:lineRule="exact"/>
            </w:pPr>
          </w:p>
        </w:tc>
        <w:tc>
          <w:tcPr>
            <w:tcW w:w="850" w:type="dxa"/>
            <w:vAlign w:val="center"/>
          </w:tcPr>
          <w:p>
            <w:pPr>
              <w:pStyle w:val="23"/>
              <w:spacing w:line="584" w:lineRule="exact"/>
            </w:pPr>
          </w:p>
        </w:tc>
        <w:tc>
          <w:tcPr>
            <w:tcW w:w="850"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p>
        </w:tc>
        <w:tc>
          <w:tcPr>
            <w:tcW w:w="964" w:type="dxa"/>
            <w:vAlign w:val="center"/>
          </w:tcPr>
          <w:p>
            <w:pPr>
              <w:pStyle w:val="19"/>
              <w:spacing w:line="584" w:lineRule="exact"/>
            </w:pPr>
          </w:p>
        </w:tc>
        <w:tc>
          <w:tcPr>
            <w:tcW w:w="1134" w:type="dxa"/>
            <w:vAlign w:val="center"/>
          </w:tcPr>
          <w:p>
            <w:pPr>
              <w:pStyle w:val="20"/>
              <w:spacing w:line="584" w:lineRule="exact"/>
            </w:pPr>
          </w:p>
        </w:tc>
        <w:tc>
          <w:tcPr>
            <w:tcW w:w="1134" w:type="dxa"/>
            <w:vAlign w:val="center"/>
          </w:tcPr>
          <w:p>
            <w:pPr>
              <w:pStyle w:val="20"/>
              <w:spacing w:line="584" w:lineRule="exact"/>
            </w:pPr>
          </w:p>
        </w:tc>
        <w:tc>
          <w:tcPr>
            <w:tcW w:w="709" w:type="dxa"/>
            <w:vAlign w:val="center"/>
          </w:tcPr>
          <w:p>
            <w:pPr>
              <w:pStyle w:val="21"/>
              <w:spacing w:line="584" w:lineRule="exact"/>
            </w:pPr>
          </w:p>
        </w:tc>
        <w:tc>
          <w:tcPr>
            <w:tcW w:w="850" w:type="dxa"/>
            <w:vAlign w:val="center"/>
          </w:tcPr>
          <w:p>
            <w:pPr>
              <w:pStyle w:val="19"/>
              <w:spacing w:line="584" w:lineRule="exact"/>
            </w:pPr>
          </w:p>
        </w:tc>
        <w:tc>
          <w:tcPr>
            <w:tcW w:w="850"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rPr>
          <w:rFonts w:ascii="Times New Roman" w:hAnsi="黑体" w:eastAsia="黑体" w:cs="Times New Roman"/>
          <w:sz w:val="32"/>
          <w:szCs w:val="32"/>
        </w:rPr>
      </w:pPr>
      <w:r>
        <w:rPr>
          <w:rFonts w:ascii="Times New Roman" w:hAnsi="黑体" w:eastAsia="黑体" w:cs="Times New Roman"/>
          <w:sz w:val="32"/>
          <w:szCs w:val="32"/>
        </w:rPr>
        <w:br w:type="page"/>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2728.55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2728.55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rPr>
              <w:t>404</w:t>
            </w:r>
            <w:r>
              <w:rPr>
                <w:rFonts w:hint="eastAsia" w:ascii="Times New Roman" w:hAnsi="Times New Roman" w:eastAsia="仿宋_GB2312" w:cs="Times New Roman"/>
                <w:sz w:val="22"/>
                <w:lang w:val="en-US" w:eastAsia="zh-CN"/>
              </w:rPr>
              <w:t>.</w:t>
            </w:r>
            <w:r>
              <w:rPr>
                <w:rFonts w:hint="eastAsia" w:ascii="Times New Roman" w:hAnsi="Times New Roman" w:eastAsia="仿宋_GB2312" w:cs="Times New Roman"/>
                <w:sz w:val="22"/>
              </w:rPr>
              <w:t>4</w:t>
            </w:r>
            <w:r>
              <w:rPr>
                <w:rFonts w:hint="eastAsia" w:ascii="Times New Roman" w:hAnsi="Times New Roman" w:eastAsia="仿宋_GB2312" w:cs="Times New Roman"/>
                <w:sz w:val="22"/>
                <w:lang w:val="en-US" w:eastAsia="zh-CN"/>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1904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2324.13</w:t>
            </w:r>
          </w:p>
        </w:tc>
      </w:tr>
    </w:tbl>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2"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JP Regular">
    <w:panose1 w:val="020B0500000000000000"/>
    <w:charset w:val="86"/>
    <w:family w:val="auto"/>
    <w:pitch w:val="default"/>
    <w:sig w:usb0="30000003" w:usb1="2BDF3C10" w:usb2="00000016" w:usb3="00000000" w:csb0="602E0107"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WZmNDA1MTg4OWU1YmIyNGZkYTc0NTk2NDMyNDk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0984"/>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1AD6726"/>
    <w:rsid w:val="03A84681"/>
    <w:rsid w:val="05A21C6E"/>
    <w:rsid w:val="068A48E4"/>
    <w:rsid w:val="071E1F77"/>
    <w:rsid w:val="072461A6"/>
    <w:rsid w:val="07911761"/>
    <w:rsid w:val="0AE4604C"/>
    <w:rsid w:val="0E244DC7"/>
    <w:rsid w:val="11AB1672"/>
    <w:rsid w:val="17B517F2"/>
    <w:rsid w:val="183323C1"/>
    <w:rsid w:val="187C45C9"/>
    <w:rsid w:val="19192D93"/>
    <w:rsid w:val="193B4903"/>
    <w:rsid w:val="197952A5"/>
    <w:rsid w:val="1ACD2659"/>
    <w:rsid w:val="1B586C8E"/>
    <w:rsid w:val="1B7560F3"/>
    <w:rsid w:val="1C621E6A"/>
    <w:rsid w:val="1EDD4EFA"/>
    <w:rsid w:val="20D1157F"/>
    <w:rsid w:val="23A9258E"/>
    <w:rsid w:val="25C90CF9"/>
    <w:rsid w:val="26AB5818"/>
    <w:rsid w:val="28335AC5"/>
    <w:rsid w:val="28B634E0"/>
    <w:rsid w:val="28B664D9"/>
    <w:rsid w:val="29BE3D54"/>
    <w:rsid w:val="2FFA37CE"/>
    <w:rsid w:val="302C49CE"/>
    <w:rsid w:val="302F3016"/>
    <w:rsid w:val="33077D57"/>
    <w:rsid w:val="33873DC4"/>
    <w:rsid w:val="35004B3A"/>
    <w:rsid w:val="35606900"/>
    <w:rsid w:val="35E159B0"/>
    <w:rsid w:val="378B3875"/>
    <w:rsid w:val="386121DB"/>
    <w:rsid w:val="3DAD7631"/>
    <w:rsid w:val="3DC7543B"/>
    <w:rsid w:val="3F35082A"/>
    <w:rsid w:val="41352940"/>
    <w:rsid w:val="42C9396C"/>
    <w:rsid w:val="43833EE1"/>
    <w:rsid w:val="45EE75AB"/>
    <w:rsid w:val="47DE1152"/>
    <w:rsid w:val="48F541F3"/>
    <w:rsid w:val="4AE455EC"/>
    <w:rsid w:val="4BE96EF1"/>
    <w:rsid w:val="4CB41635"/>
    <w:rsid w:val="4DDEB49F"/>
    <w:rsid w:val="4E676D25"/>
    <w:rsid w:val="500C79AA"/>
    <w:rsid w:val="51C915B1"/>
    <w:rsid w:val="54DB5397"/>
    <w:rsid w:val="57EE69D4"/>
    <w:rsid w:val="58584F50"/>
    <w:rsid w:val="5A681FE5"/>
    <w:rsid w:val="5CB51463"/>
    <w:rsid w:val="5CF42519"/>
    <w:rsid w:val="5F7563E8"/>
    <w:rsid w:val="604665BC"/>
    <w:rsid w:val="62202832"/>
    <w:rsid w:val="639F1C85"/>
    <w:rsid w:val="642077AE"/>
    <w:rsid w:val="64E82958"/>
    <w:rsid w:val="64F839BD"/>
    <w:rsid w:val="656135CD"/>
    <w:rsid w:val="67073DC9"/>
    <w:rsid w:val="6A9A31A7"/>
    <w:rsid w:val="6ABF7A5F"/>
    <w:rsid w:val="6B781412"/>
    <w:rsid w:val="6BC11237"/>
    <w:rsid w:val="6BE02E3B"/>
    <w:rsid w:val="6E7D45F7"/>
    <w:rsid w:val="70DA254F"/>
    <w:rsid w:val="70DF2FD7"/>
    <w:rsid w:val="72D8360E"/>
    <w:rsid w:val="73D001FF"/>
    <w:rsid w:val="74BD678C"/>
    <w:rsid w:val="74DB6E01"/>
    <w:rsid w:val="75C7203D"/>
    <w:rsid w:val="76AF728E"/>
    <w:rsid w:val="77F42148"/>
    <w:rsid w:val="7C926339"/>
    <w:rsid w:val="7E17545B"/>
    <w:rsid w:val="7EFB2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style>
  <w:style w:type="paragraph" w:styleId="3">
    <w:name w:val="Body Text"/>
    <w:basedOn w:val="1"/>
    <w:qFormat/>
    <w:uiPriority w:val="0"/>
    <w:pPr>
      <w:ind w:left="120"/>
    </w:pPr>
    <w:rPr>
      <w:rFonts w:ascii="Noto Sans CJK JP Regular" w:hAnsi="Noto Sans CJK JP Regular" w:eastAsia="Noto Sans CJK JP Regular" w:cs="Noto Sans CJK JP Regular"/>
      <w:sz w:val="32"/>
      <w:szCs w:val="32"/>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1"/>
    <w:basedOn w:val="1"/>
    <w:next w:val="1"/>
    <w:qFormat/>
    <w:uiPriority w:val="39"/>
    <w:rPr>
      <w:rFonts w:ascii="Times New Roman" w:hAnsi="Times New Roman" w:eastAsia="宋体" w:cs="Times New Roman"/>
      <w:szCs w:val="24"/>
    </w:rPr>
  </w:style>
  <w:style w:type="paragraph" w:styleId="8">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character" w:styleId="12">
    <w:name w:val="footnote reference"/>
    <w:semiHidden/>
    <w:unhideWhenUsed/>
    <w:qFormat/>
    <w:uiPriority w:val="99"/>
    <w:rPr>
      <w:vertAlign w:val="superscript"/>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批注框文本 Char"/>
    <w:basedOn w:val="11"/>
    <w:link w:val="4"/>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11"/>
    <w:link w:val="8"/>
    <w:semiHidden/>
    <w:qFormat/>
    <w:uiPriority w:val="99"/>
    <w:rPr>
      <w:rFonts w:ascii="Calibri" w:hAnsi="Calibri" w:eastAsia="宋体" w:cs="Times New Roman"/>
      <w:sz w:val="18"/>
      <w:szCs w:val="18"/>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11082</Words>
  <Characters>11602</Characters>
  <Lines>35</Lines>
  <Paragraphs>10</Paragraphs>
  <TotalTime>0</TotalTime>
  <ScaleCrop>false</ScaleCrop>
  <LinksUpToDate>false</LinksUpToDate>
  <CharactersWithSpaces>11743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2020-01-13T11:27:00Z</dcterms:created>
  <dc:creator>guest</dc:creator>
  <cp:lastModifiedBy>inspur</cp:lastModifiedBy>
  <cp:lastPrinted>2023-01-29T09:01:00Z</cp:lastPrinted>
  <dcterms:modified xsi:type="dcterms:W3CDTF">2024-11-13T14:38:21Z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9EE03B48186F44DC8B944AD310E0E030</vt:lpwstr>
  </property>
</Properties>
</file>